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E558" w14:textId="60ACAAE2" w:rsidR="00D518FD" w:rsidRPr="000F7C04" w:rsidRDefault="00000000">
      <w:pPr>
        <w:pStyle w:val="P68B1DB1-Titolo11"/>
        <w:spacing w:before="0" w:after="120" w:line="240" w:lineRule="auto"/>
        <w:rPr>
          <w:lang w:val="en-GB"/>
        </w:rPr>
      </w:pPr>
      <w:r w:rsidRPr="000F7C04">
        <w:rPr>
          <w:lang w:val="en-GB"/>
        </w:rPr>
        <w:t xml:space="preserve">PRECISION ANIMAL NUTRITION </w:t>
      </w:r>
    </w:p>
    <w:p w14:paraId="00756E40" w14:textId="77777777" w:rsidR="00D518FD" w:rsidRPr="000F7C04" w:rsidRDefault="00D518FD">
      <w:pPr>
        <w:pStyle w:val="Titolo1"/>
        <w:spacing w:before="0" w:after="120" w:line="240" w:lineRule="auto"/>
        <w:rPr>
          <w:rFonts w:ascii="Times New Roman" w:hAnsi="Times New Roman"/>
          <w:lang w:val="en-GB"/>
        </w:rPr>
      </w:pPr>
    </w:p>
    <w:p w14:paraId="3CB741E5" w14:textId="17FBC911" w:rsidR="00D518FD" w:rsidRPr="000F7C04" w:rsidRDefault="00000000">
      <w:pPr>
        <w:pStyle w:val="P68B1DB1-Titolo11"/>
        <w:spacing w:before="0" w:after="120" w:line="240" w:lineRule="auto"/>
        <w:rPr>
          <w:lang w:val="en-GB"/>
        </w:rPr>
      </w:pPr>
      <w:r w:rsidRPr="000F7C04">
        <w:rPr>
          <w:lang w:val="en-GB"/>
        </w:rPr>
        <w:t>Feeding System Module</w:t>
      </w:r>
    </w:p>
    <w:p w14:paraId="5D67C089" w14:textId="001ABF78" w:rsidR="00D518FD" w:rsidRPr="000F7C04" w:rsidRDefault="00000000">
      <w:pPr>
        <w:pStyle w:val="P68B1DB1-Titolo22"/>
        <w:spacing w:after="120" w:line="240" w:lineRule="auto"/>
        <w:rPr>
          <w:lang w:val="en-GB"/>
        </w:rPr>
      </w:pPr>
      <w:r w:rsidRPr="000F7C04">
        <w:rPr>
          <w:lang w:val="en-GB"/>
        </w:rPr>
        <w:t>Prof. Antonio Gallo</w:t>
      </w:r>
    </w:p>
    <w:p w14:paraId="63A0DA7B" w14:textId="77777777" w:rsidR="00D518FD" w:rsidRPr="000F7C04" w:rsidRDefault="00D518FD">
      <w:pPr>
        <w:spacing w:after="120" w:line="240" w:lineRule="auto"/>
        <w:rPr>
          <w:rFonts w:ascii="Times New Roman" w:hAnsi="Times New Roman"/>
          <w:b/>
          <w:i/>
          <w:lang w:val="en-GB"/>
        </w:rPr>
      </w:pPr>
    </w:p>
    <w:p w14:paraId="70523982" w14:textId="34134DEA" w:rsidR="00D518FD" w:rsidRPr="000F7C04" w:rsidRDefault="00000000">
      <w:pPr>
        <w:pStyle w:val="P68B1DB1-Normale3"/>
        <w:spacing w:after="120" w:line="240" w:lineRule="auto"/>
        <w:rPr>
          <w:lang w:val="en-GB"/>
        </w:rPr>
      </w:pPr>
      <w:r w:rsidRPr="000F7C04">
        <w:rPr>
          <w:lang w:val="en-GB"/>
        </w:rPr>
        <w:t>COURSE AIMS AND INTENDED LEARNING OUTCOMES</w:t>
      </w:r>
    </w:p>
    <w:p w14:paraId="1D752617" w14:textId="0864A5DC" w:rsidR="00D518FD" w:rsidRPr="000F7C04" w:rsidRDefault="00000000">
      <w:pPr>
        <w:pStyle w:val="Corpotesto"/>
        <w:spacing w:after="120"/>
        <w:rPr>
          <w:lang w:val="en-GB"/>
        </w:rPr>
      </w:pPr>
      <w:r w:rsidRPr="000F7C04">
        <w:rPr>
          <w:lang w:val="en-GB"/>
        </w:rPr>
        <w:t>The aim of the course is to teach students about animal food production systems, the technologies present in feed plants, the criteria for organising a feed system, and the meaning of the professional figures involved in the production system, including quality control, supplier selection, plant management and product formulation techniques.</w:t>
      </w:r>
    </w:p>
    <w:p w14:paraId="32430F8E" w14:textId="77777777" w:rsidR="00D518FD" w:rsidRPr="000F7C04" w:rsidRDefault="00000000">
      <w:pPr>
        <w:pStyle w:val="Corpotesto"/>
        <w:spacing w:after="120"/>
        <w:rPr>
          <w:lang w:val="en-GB"/>
        </w:rPr>
      </w:pPr>
      <w:r w:rsidRPr="000F7C04">
        <w:rPr>
          <w:lang w:val="en-GB"/>
        </w:rPr>
        <w:t>The different types of plants, processes (from the arrival of the raw materials, selection and storage, grinding, dosing, mixing and pelleting) and product distribution will be described in the course.</w:t>
      </w:r>
    </w:p>
    <w:p w14:paraId="51B89433" w14:textId="183B95CF" w:rsidR="00D518FD" w:rsidRPr="000F7C04" w:rsidRDefault="00000000">
      <w:pPr>
        <w:pStyle w:val="Corpotesto"/>
        <w:spacing w:after="120"/>
        <w:rPr>
          <w:lang w:val="en-GB"/>
        </w:rPr>
      </w:pPr>
      <w:r w:rsidRPr="000F7C04">
        <w:rPr>
          <w:lang w:val="en-GB"/>
        </w:rPr>
        <w:t>The physical raw material transformation processes, that improve the nutritional qualities of raw materials, will be described; these include pelleting, grinding, extrusion/expansion, mollassing, flaking etc.</w:t>
      </w:r>
    </w:p>
    <w:p w14:paraId="311A4BA9" w14:textId="0C4743A6" w:rsidR="00D518FD" w:rsidRPr="000F7C04" w:rsidRDefault="00000000">
      <w:pPr>
        <w:pStyle w:val="Corpotesto"/>
        <w:spacing w:after="120"/>
        <w:rPr>
          <w:lang w:val="en-GB"/>
        </w:rPr>
      </w:pPr>
      <w:r w:rsidRPr="000F7C04">
        <w:rPr>
          <w:lang w:val="en-GB"/>
        </w:rPr>
        <w:t>Students will know the functions and skills necessary for the various feeding system professional roles, including those of the raw materials purchasing offices, the quality control laboratory, the formulation office, plant management, and transport logistics for the collection of raw materials and delivery of finished products.</w:t>
      </w:r>
    </w:p>
    <w:p w14:paraId="58D551C8" w14:textId="445153B7" w:rsidR="00D518FD" w:rsidRPr="000F7C04" w:rsidRDefault="00000000">
      <w:pPr>
        <w:pStyle w:val="Corpotesto"/>
        <w:spacing w:after="120"/>
        <w:rPr>
          <w:lang w:val="en-GB"/>
        </w:rPr>
      </w:pPr>
      <w:r w:rsidRPr="000F7C04">
        <w:rPr>
          <w:lang w:val="en-GB"/>
        </w:rPr>
        <w:t>At the end of the course, students will know the structure and functioning of a livestock feed production system; they will also be able to interface with the various figures operating within the system, plan food mixes using formulation techniques, and know the basics of logistics organisation and the functions of the commercial figures.</w:t>
      </w:r>
    </w:p>
    <w:p w14:paraId="4820A132" w14:textId="77777777" w:rsidR="00D518FD" w:rsidRPr="000F7C04" w:rsidRDefault="00D518FD">
      <w:pPr>
        <w:spacing w:after="120" w:line="240" w:lineRule="auto"/>
        <w:rPr>
          <w:rFonts w:ascii="Times New Roman" w:hAnsi="Times New Roman"/>
          <w:b/>
          <w:i/>
          <w:lang w:val="en-GB"/>
        </w:rPr>
      </w:pPr>
    </w:p>
    <w:p w14:paraId="26D4D66E" w14:textId="77777777" w:rsidR="00D518FD" w:rsidRPr="000F7C04" w:rsidRDefault="00000000">
      <w:pPr>
        <w:pStyle w:val="P68B1DB1-Normale3"/>
        <w:spacing w:after="120" w:line="240" w:lineRule="auto"/>
        <w:rPr>
          <w:lang w:val="en-GB"/>
        </w:rPr>
      </w:pPr>
      <w:r w:rsidRPr="000F7C04">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7"/>
        <w:gridCol w:w="14"/>
        <w:gridCol w:w="1119"/>
      </w:tblGrid>
      <w:tr w:rsidR="00D518FD" w:rsidRPr="000F7C04" w14:paraId="393B2079" w14:textId="77777777">
        <w:tc>
          <w:tcPr>
            <w:tcW w:w="5571" w:type="dxa"/>
            <w:gridSpan w:val="2"/>
            <w:tcBorders>
              <w:top w:val="single" w:sz="4" w:space="0" w:color="auto"/>
              <w:left w:val="nil"/>
              <w:bottom w:val="single" w:sz="4" w:space="0" w:color="auto"/>
              <w:right w:val="nil"/>
            </w:tcBorders>
            <w:hideMark/>
          </w:tcPr>
          <w:p w14:paraId="4E32F694" w14:textId="77777777" w:rsidR="00D518FD" w:rsidRPr="000F7C04" w:rsidRDefault="00000000">
            <w:pPr>
              <w:pStyle w:val="P68B1DB1-Normale4"/>
              <w:spacing w:line="240" w:lineRule="auto"/>
              <w:rPr>
                <w:lang w:val="en-GB"/>
              </w:rPr>
            </w:pPr>
            <w:r w:rsidRPr="000F7C04">
              <w:rPr>
                <w:lang w:val="en-GB"/>
              </w:rPr>
              <w:t>Topic</w:t>
            </w:r>
          </w:p>
        </w:tc>
        <w:tc>
          <w:tcPr>
            <w:tcW w:w="1119" w:type="dxa"/>
            <w:tcBorders>
              <w:top w:val="single" w:sz="4" w:space="0" w:color="auto"/>
              <w:left w:val="nil"/>
              <w:bottom w:val="single" w:sz="4" w:space="0" w:color="auto"/>
              <w:right w:val="nil"/>
            </w:tcBorders>
          </w:tcPr>
          <w:p w14:paraId="142A6396" w14:textId="77777777" w:rsidR="00D518FD" w:rsidRPr="000F7C04" w:rsidRDefault="00000000">
            <w:pPr>
              <w:pStyle w:val="P68B1DB1-Normale4"/>
              <w:spacing w:line="240" w:lineRule="auto"/>
              <w:jc w:val="center"/>
              <w:rPr>
                <w:lang w:val="en-GB"/>
              </w:rPr>
            </w:pPr>
            <w:r w:rsidRPr="000F7C04">
              <w:rPr>
                <w:lang w:val="en-GB"/>
              </w:rPr>
              <w:t>ECTS</w:t>
            </w:r>
          </w:p>
        </w:tc>
      </w:tr>
      <w:tr w:rsidR="00D518FD" w:rsidRPr="000F7C04" w14:paraId="7BBBE846" w14:textId="77777777">
        <w:tc>
          <w:tcPr>
            <w:tcW w:w="5571" w:type="dxa"/>
            <w:gridSpan w:val="2"/>
            <w:tcBorders>
              <w:top w:val="single" w:sz="4" w:space="0" w:color="auto"/>
              <w:left w:val="nil"/>
              <w:bottom w:val="single" w:sz="4" w:space="0" w:color="auto"/>
              <w:right w:val="nil"/>
            </w:tcBorders>
          </w:tcPr>
          <w:p w14:paraId="2C599787" w14:textId="77777777" w:rsidR="00D518FD" w:rsidRPr="000F7C04" w:rsidRDefault="00000000">
            <w:pPr>
              <w:pStyle w:val="P68B1DB1-Normale5"/>
              <w:tabs>
                <w:tab w:val="left" w:pos="720"/>
              </w:tabs>
              <w:spacing w:line="240" w:lineRule="auto"/>
              <w:rPr>
                <w:lang w:val="en-GB"/>
              </w:rPr>
            </w:pPr>
            <w:r w:rsidRPr="000F7C04">
              <w:rPr>
                <w:lang w:val="en-GB"/>
              </w:rPr>
              <w:t xml:space="preserve">General section </w:t>
            </w:r>
          </w:p>
        </w:tc>
        <w:tc>
          <w:tcPr>
            <w:tcW w:w="1119" w:type="dxa"/>
            <w:tcBorders>
              <w:top w:val="single" w:sz="4" w:space="0" w:color="auto"/>
              <w:left w:val="nil"/>
              <w:bottom w:val="single" w:sz="4" w:space="0" w:color="auto"/>
              <w:right w:val="nil"/>
            </w:tcBorders>
          </w:tcPr>
          <w:p w14:paraId="0416DA28" w14:textId="77777777" w:rsidR="00D518FD" w:rsidRPr="000F7C04" w:rsidRDefault="00D518FD">
            <w:pPr>
              <w:spacing w:line="240" w:lineRule="auto"/>
              <w:jc w:val="center"/>
              <w:rPr>
                <w:rFonts w:ascii="Times New Roman" w:hAnsi="Times New Roman"/>
                <w:lang w:val="en-GB"/>
              </w:rPr>
            </w:pPr>
          </w:p>
        </w:tc>
      </w:tr>
      <w:tr w:rsidR="00D518FD" w:rsidRPr="000F7C04" w14:paraId="4CA0FB24" w14:textId="77777777">
        <w:tc>
          <w:tcPr>
            <w:tcW w:w="5571" w:type="dxa"/>
            <w:gridSpan w:val="2"/>
            <w:tcBorders>
              <w:top w:val="single" w:sz="4" w:space="0" w:color="auto"/>
              <w:left w:val="nil"/>
              <w:bottom w:val="single" w:sz="4" w:space="0" w:color="auto"/>
              <w:right w:val="nil"/>
            </w:tcBorders>
            <w:hideMark/>
          </w:tcPr>
          <w:p w14:paraId="72CACB06" w14:textId="77777777" w:rsidR="00D518FD" w:rsidRPr="000F7C04" w:rsidRDefault="00000000">
            <w:pPr>
              <w:pStyle w:val="P68B1DB1-Normale4"/>
              <w:tabs>
                <w:tab w:val="left" w:pos="720"/>
              </w:tabs>
              <w:spacing w:line="240" w:lineRule="auto"/>
              <w:rPr>
                <w:lang w:val="en-GB"/>
              </w:rPr>
            </w:pPr>
            <w:r w:rsidRPr="000F7C04">
              <w:rPr>
                <w:lang w:val="en-GB"/>
              </w:rPr>
              <w:t>Description of the national feeding system and feed market in various geographical areas. Raw materials market and national and international sourcing</w:t>
            </w:r>
          </w:p>
        </w:tc>
        <w:tc>
          <w:tcPr>
            <w:tcW w:w="1119" w:type="dxa"/>
            <w:tcBorders>
              <w:top w:val="single" w:sz="4" w:space="0" w:color="auto"/>
              <w:left w:val="nil"/>
              <w:bottom w:val="single" w:sz="4" w:space="0" w:color="auto"/>
              <w:right w:val="nil"/>
            </w:tcBorders>
            <w:hideMark/>
          </w:tcPr>
          <w:p w14:paraId="68DBA049"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29E8CDD4" w14:textId="77777777">
        <w:tc>
          <w:tcPr>
            <w:tcW w:w="5571" w:type="dxa"/>
            <w:gridSpan w:val="2"/>
            <w:tcBorders>
              <w:top w:val="single" w:sz="4" w:space="0" w:color="auto"/>
              <w:left w:val="nil"/>
              <w:bottom w:val="single" w:sz="4" w:space="0" w:color="auto"/>
              <w:right w:val="nil"/>
            </w:tcBorders>
          </w:tcPr>
          <w:p w14:paraId="543B1A76" w14:textId="77777777" w:rsidR="00D518FD" w:rsidRPr="000F7C04" w:rsidRDefault="00000000">
            <w:pPr>
              <w:pStyle w:val="P68B1DB1-Normale5"/>
              <w:tabs>
                <w:tab w:val="left" w:pos="720"/>
              </w:tabs>
              <w:spacing w:line="240" w:lineRule="auto"/>
              <w:rPr>
                <w:lang w:val="en-GB"/>
              </w:rPr>
            </w:pPr>
            <w:r w:rsidRPr="000F7C04">
              <w:rPr>
                <w:lang w:val="en-GB"/>
              </w:rPr>
              <w:t>Structure and organisation of the feed mill and processes</w:t>
            </w:r>
          </w:p>
        </w:tc>
        <w:tc>
          <w:tcPr>
            <w:tcW w:w="1119" w:type="dxa"/>
            <w:tcBorders>
              <w:top w:val="single" w:sz="4" w:space="0" w:color="auto"/>
              <w:left w:val="nil"/>
              <w:bottom w:val="single" w:sz="4" w:space="0" w:color="auto"/>
              <w:right w:val="nil"/>
            </w:tcBorders>
          </w:tcPr>
          <w:p w14:paraId="7A730737" w14:textId="77777777" w:rsidR="00D518FD" w:rsidRPr="000F7C04" w:rsidRDefault="00D518FD">
            <w:pPr>
              <w:spacing w:line="240" w:lineRule="auto"/>
              <w:jc w:val="center"/>
              <w:rPr>
                <w:rFonts w:ascii="Times New Roman" w:hAnsi="Times New Roman"/>
                <w:lang w:val="en-GB"/>
              </w:rPr>
            </w:pPr>
          </w:p>
        </w:tc>
      </w:tr>
      <w:tr w:rsidR="00D518FD" w:rsidRPr="000F7C04" w14:paraId="4564B7FB" w14:textId="77777777">
        <w:tc>
          <w:tcPr>
            <w:tcW w:w="5571" w:type="dxa"/>
            <w:gridSpan w:val="2"/>
            <w:tcBorders>
              <w:top w:val="single" w:sz="4" w:space="0" w:color="auto"/>
              <w:left w:val="nil"/>
              <w:bottom w:val="single" w:sz="4" w:space="0" w:color="auto"/>
              <w:right w:val="nil"/>
            </w:tcBorders>
          </w:tcPr>
          <w:p w14:paraId="632D19CD" w14:textId="77777777" w:rsidR="00D518FD" w:rsidRPr="000F7C04" w:rsidRDefault="00000000">
            <w:pPr>
              <w:pStyle w:val="P68B1DB1-Normale4"/>
              <w:tabs>
                <w:tab w:val="left" w:pos="720"/>
              </w:tabs>
              <w:spacing w:line="240" w:lineRule="auto"/>
              <w:rPr>
                <w:lang w:val="en-GB"/>
              </w:rPr>
            </w:pPr>
            <w:r w:rsidRPr="000F7C04">
              <w:rPr>
                <w:lang w:val="en-GB"/>
              </w:rPr>
              <w:t>Process analysis and plant types</w:t>
            </w:r>
          </w:p>
        </w:tc>
        <w:tc>
          <w:tcPr>
            <w:tcW w:w="1119" w:type="dxa"/>
            <w:tcBorders>
              <w:top w:val="single" w:sz="4" w:space="0" w:color="auto"/>
              <w:left w:val="nil"/>
              <w:bottom w:val="single" w:sz="4" w:space="0" w:color="auto"/>
              <w:right w:val="nil"/>
            </w:tcBorders>
          </w:tcPr>
          <w:p w14:paraId="5443BADE"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77DCAA51" w14:textId="77777777">
        <w:tc>
          <w:tcPr>
            <w:tcW w:w="5571" w:type="dxa"/>
            <w:gridSpan w:val="2"/>
            <w:tcBorders>
              <w:top w:val="single" w:sz="4" w:space="0" w:color="auto"/>
              <w:left w:val="nil"/>
              <w:bottom w:val="single" w:sz="4" w:space="0" w:color="auto"/>
              <w:right w:val="nil"/>
            </w:tcBorders>
          </w:tcPr>
          <w:p w14:paraId="43F2F026" w14:textId="4227D03F" w:rsidR="00D518FD" w:rsidRPr="000F7C04" w:rsidRDefault="00000000">
            <w:pPr>
              <w:pStyle w:val="P68B1DB1-Normale4"/>
              <w:tabs>
                <w:tab w:val="left" w:pos="720"/>
              </w:tabs>
              <w:spacing w:line="240" w:lineRule="auto"/>
              <w:rPr>
                <w:lang w:val="en-GB"/>
              </w:rPr>
            </w:pPr>
            <w:r w:rsidRPr="000F7C04">
              <w:rPr>
                <w:lang w:val="en-GB"/>
              </w:rPr>
              <w:t xml:space="preserve">Phases of the transformation process: reception and quality control of incoming materials, non-compliance management, supplier selection </w:t>
            </w:r>
          </w:p>
        </w:tc>
        <w:tc>
          <w:tcPr>
            <w:tcW w:w="1119" w:type="dxa"/>
            <w:tcBorders>
              <w:top w:val="single" w:sz="4" w:space="0" w:color="auto"/>
              <w:left w:val="nil"/>
              <w:bottom w:val="single" w:sz="4" w:space="0" w:color="auto"/>
              <w:right w:val="nil"/>
            </w:tcBorders>
          </w:tcPr>
          <w:p w14:paraId="59F3C515"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231CC3C5" w14:textId="77777777">
        <w:tc>
          <w:tcPr>
            <w:tcW w:w="5571" w:type="dxa"/>
            <w:gridSpan w:val="2"/>
            <w:tcBorders>
              <w:top w:val="single" w:sz="4" w:space="0" w:color="auto"/>
              <w:left w:val="nil"/>
              <w:bottom w:val="single" w:sz="4" w:space="0" w:color="auto"/>
              <w:right w:val="nil"/>
            </w:tcBorders>
          </w:tcPr>
          <w:p w14:paraId="677ED0A5" w14:textId="5695933D" w:rsidR="00D518FD" w:rsidRPr="000F7C04" w:rsidRDefault="00000000">
            <w:pPr>
              <w:pStyle w:val="P68B1DB1-Normale4"/>
              <w:tabs>
                <w:tab w:val="left" w:pos="720"/>
              </w:tabs>
              <w:spacing w:line="240" w:lineRule="auto"/>
              <w:rPr>
                <w:lang w:val="en-GB"/>
              </w:rPr>
            </w:pPr>
            <w:r w:rsidRPr="000F7C04">
              <w:rPr>
                <w:lang w:val="en-GB"/>
              </w:rPr>
              <w:t>Analysis of the dosing, grinding, mixing processes</w:t>
            </w:r>
          </w:p>
        </w:tc>
        <w:tc>
          <w:tcPr>
            <w:tcW w:w="1119" w:type="dxa"/>
            <w:tcBorders>
              <w:top w:val="single" w:sz="4" w:space="0" w:color="auto"/>
              <w:left w:val="nil"/>
              <w:bottom w:val="single" w:sz="4" w:space="0" w:color="auto"/>
              <w:right w:val="nil"/>
            </w:tcBorders>
          </w:tcPr>
          <w:p w14:paraId="07174773" w14:textId="77777777" w:rsidR="00D518FD" w:rsidRPr="000F7C04" w:rsidRDefault="00000000">
            <w:pPr>
              <w:pStyle w:val="P68B1DB1-Normale4"/>
              <w:spacing w:line="240" w:lineRule="auto"/>
              <w:rPr>
                <w:lang w:val="en-GB"/>
              </w:rPr>
            </w:pPr>
            <w:r w:rsidRPr="000F7C04">
              <w:rPr>
                <w:lang w:val="en-GB"/>
              </w:rPr>
              <w:t>0.5</w:t>
            </w:r>
          </w:p>
        </w:tc>
      </w:tr>
      <w:tr w:rsidR="00D518FD" w:rsidRPr="000F7C04" w14:paraId="29AE709F" w14:textId="77777777">
        <w:tc>
          <w:tcPr>
            <w:tcW w:w="5571" w:type="dxa"/>
            <w:gridSpan w:val="2"/>
            <w:tcBorders>
              <w:top w:val="single" w:sz="4" w:space="0" w:color="auto"/>
              <w:left w:val="nil"/>
              <w:bottom w:val="single" w:sz="4" w:space="0" w:color="auto"/>
              <w:right w:val="nil"/>
            </w:tcBorders>
          </w:tcPr>
          <w:p w14:paraId="218F30DD" w14:textId="77777777" w:rsidR="00D518FD" w:rsidRPr="000F7C04" w:rsidRDefault="00000000">
            <w:pPr>
              <w:pStyle w:val="P68B1DB1-Normale4"/>
              <w:spacing w:line="240" w:lineRule="auto"/>
              <w:rPr>
                <w:lang w:val="en-GB"/>
              </w:rPr>
            </w:pPr>
            <w:r w:rsidRPr="000F7C04">
              <w:rPr>
                <w:lang w:val="en-GB"/>
              </w:rPr>
              <w:lastRenderedPageBreak/>
              <w:t xml:space="preserve">Flaking, extrusion/expansion, pelleting of raw materials or mixtures and the effects on the process and nutritional value </w:t>
            </w:r>
          </w:p>
        </w:tc>
        <w:tc>
          <w:tcPr>
            <w:tcW w:w="1119" w:type="dxa"/>
            <w:tcBorders>
              <w:top w:val="single" w:sz="4" w:space="0" w:color="auto"/>
              <w:left w:val="nil"/>
              <w:bottom w:val="single" w:sz="4" w:space="0" w:color="auto"/>
              <w:right w:val="nil"/>
            </w:tcBorders>
          </w:tcPr>
          <w:p w14:paraId="0D524F07" w14:textId="77777777" w:rsidR="00D518FD" w:rsidRPr="000F7C04" w:rsidRDefault="00000000">
            <w:pPr>
              <w:pStyle w:val="P68B1DB1-Normale4"/>
              <w:spacing w:line="240" w:lineRule="auto"/>
              <w:rPr>
                <w:lang w:val="en-GB"/>
              </w:rPr>
            </w:pPr>
            <w:r w:rsidRPr="000F7C04">
              <w:rPr>
                <w:lang w:val="en-GB"/>
              </w:rPr>
              <w:t>0.5</w:t>
            </w:r>
          </w:p>
        </w:tc>
      </w:tr>
      <w:tr w:rsidR="00D518FD" w:rsidRPr="000F7C04" w14:paraId="10065C36" w14:textId="77777777">
        <w:tc>
          <w:tcPr>
            <w:tcW w:w="5557" w:type="dxa"/>
            <w:shd w:val="clear" w:color="auto" w:fill="auto"/>
          </w:tcPr>
          <w:p w14:paraId="24235CA1" w14:textId="77777777" w:rsidR="00D518FD" w:rsidRPr="000F7C04" w:rsidRDefault="00000000">
            <w:pPr>
              <w:pStyle w:val="P68B1DB1-Normale4"/>
              <w:spacing w:line="240" w:lineRule="auto"/>
              <w:rPr>
                <w:lang w:val="en-GB"/>
              </w:rPr>
            </w:pPr>
            <w:r w:rsidRPr="000F7C04">
              <w:rPr>
                <w:lang w:val="en-GB"/>
              </w:rPr>
              <w:t>Approach to optimised feed formulation at minimum cost and multi-formulation</w:t>
            </w:r>
          </w:p>
        </w:tc>
        <w:tc>
          <w:tcPr>
            <w:tcW w:w="1133" w:type="dxa"/>
            <w:gridSpan w:val="2"/>
            <w:shd w:val="clear" w:color="auto" w:fill="auto"/>
            <w:vAlign w:val="center"/>
          </w:tcPr>
          <w:p w14:paraId="7BA5504C" w14:textId="77777777" w:rsidR="00D518FD" w:rsidRPr="000F7C04" w:rsidRDefault="00000000">
            <w:pPr>
              <w:pStyle w:val="P68B1DB1-Normale4"/>
              <w:spacing w:line="240" w:lineRule="auto"/>
              <w:rPr>
                <w:lang w:val="en-GB"/>
              </w:rPr>
            </w:pPr>
            <w:r w:rsidRPr="000F7C04">
              <w:rPr>
                <w:lang w:val="en-GB"/>
              </w:rPr>
              <w:t>0.5</w:t>
            </w:r>
          </w:p>
        </w:tc>
      </w:tr>
      <w:tr w:rsidR="00D518FD" w:rsidRPr="000F7C04" w14:paraId="615B50CB" w14:textId="77777777">
        <w:tc>
          <w:tcPr>
            <w:tcW w:w="5557" w:type="dxa"/>
            <w:shd w:val="clear" w:color="auto" w:fill="auto"/>
          </w:tcPr>
          <w:p w14:paraId="08488A5B" w14:textId="77777777" w:rsidR="00D518FD" w:rsidRPr="000F7C04" w:rsidRDefault="00000000">
            <w:pPr>
              <w:pStyle w:val="P68B1DB1-Normale5"/>
              <w:spacing w:line="240" w:lineRule="auto"/>
              <w:rPr>
                <w:lang w:val="en-GB"/>
              </w:rPr>
            </w:pPr>
            <w:r w:rsidRPr="000F7C04">
              <w:rPr>
                <w:lang w:val="en-GB"/>
              </w:rPr>
              <w:t xml:space="preserve">Tutorials and Visits </w:t>
            </w:r>
          </w:p>
        </w:tc>
        <w:tc>
          <w:tcPr>
            <w:tcW w:w="1133" w:type="dxa"/>
            <w:gridSpan w:val="2"/>
            <w:shd w:val="clear" w:color="auto" w:fill="auto"/>
            <w:vAlign w:val="center"/>
          </w:tcPr>
          <w:p w14:paraId="61F078E8" w14:textId="77777777" w:rsidR="00D518FD" w:rsidRPr="000F7C04" w:rsidRDefault="00D518FD">
            <w:pPr>
              <w:spacing w:line="240" w:lineRule="auto"/>
              <w:rPr>
                <w:rFonts w:ascii="Times New Roman" w:hAnsi="Times New Roman"/>
                <w:lang w:val="en-GB"/>
              </w:rPr>
            </w:pPr>
          </w:p>
        </w:tc>
      </w:tr>
      <w:tr w:rsidR="00D518FD" w:rsidRPr="000F7C04" w14:paraId="24EA0A64" w14:textId="77777777">
        <w:tc>
          <w:tcPr>
            <w:tcW w:w="5557" w:type="dxa"/>
            <w:shd w:val="clear" w:color="auto" w:fill="auto"/>
          </w:tcPr>
          <w:p w14:paraId="073766E6" w14:textId="77777777" w:rsidR="00D518FD" w:rsidRPr="000F7C04" w:rsidRDefault="00000000">
            <w:pPr>
              <w:pStyle w:val="P68B1DB1-Normale4"/>
              <w:spacing w:line="240" w:lineRule="auto"/>
              <w:rPr>
                <w:lang w:val="en-GB"/>
              </w:rPr>
            </w:pPr>
            <w:r w:rsidRPr="000F7C04">
              <w:rPr>
                <w:lang w:val="en-GB"/>
              </w:rPr>
              <w:t>Visits to feed mills and monogastric formulation exercises</w:t>
            </w:r>
          </w:p>
        </w:tc>
        <w:tc>
          <w:tcPr>
            <w:tcW w:w="1133" w:type="dxa"/>
            <w:gridSpan w:val="2"/>
            <w:shd w:val="clear" w:color="auto" w:fill="auto"/>
            <w:vAlign w:val="center"/>
          </w:tcPr>
          <w:p w14:paraId="73732F49" w14:textId="77777777" w:rsidR="00D518FD" w:rsidRPr="000F7C04" w:rsidRDefault="00000000">
            <w:pPr>
              <w:pStyle w:val="P68B1DB1-Normale4"/>
              <w:spacing w:line="240" w:lineRule="auto"/>
              <w:rPr>
                <w:lang w:val="en-GB"/>
              </w:rPr>
            </w:pPr>
            <w:r w:rsidRPr="000F7C04">
              <w:rPr>
                <w:lang w:val="en-GB"/>
              </w:rPr>
              <w:t>0.5</w:t>
            </w:r>
          </w:p>
        </w:tc>
      </w:tr>
      <w:tr w:rsidR="00D518FD" w:rsidRPr="000F7C04" w14:paraId="44AAB842" w14:textId="77777777">
        <w:tc>
          <w:tcPr>
            <w:tcW w:w="5557" w:type="dxa"/>
            <w:shd w:val="clear" w:color="auto" w:fill="auto"/>
          </w:tcPr>
          <w:p w14:paraId="419D765E" w14:textId="77777777" w:rsidR="00D518FD" w:rsidRPr="000F7C04" w:rsidRDefault="00000000">
            <w:pPr>
              <w:pStyle w:val="P68B1DB1-Normale4"/>
              <w:spacing w:line="240" w:lineRule="auto"/>
              <w:rPr>
                <w:lang w:val="en-GB"/>
              </w:rPr>
            </w:pPr>
            <w:r w:rsidRPr="000F7C04">
              <w:rPr>
                <w:lang w:val="en-GB"/>
              </w:rPr>
              <w:t>Visits to feed mills and ruminant formulation exercises</w:t>
            </w:r>
          </w:p>
        </w:tc>
        <w:tc>
          <w:tcPr>
            <w:tcW w:w="1133" w:type="dxa"/>
            <w:gridSpan w:val="2"/>
            <w:shd w:val="clear" w:color="auto" w:fill="auto"/>
            <w:vAlign w:val="center"/>
          </w:tcPr>
          <w:p w14:paraId="50D2DE65" w14:textId="77777777" w:rsidR="00D518FD" w:rsidRPr="000F7C04" w:rsidRDefault="00000000">
            <w:pPr>
              <w:pStyle w:val="P68B1DB1-Normale4"/>
              <w:spacing w:line="240" w:lineRule="auto"/>
              <w:rPr>
                <w:lang w:val="en-GB"/>
              </w:rPr>
            </w:pPr>
            <w:r w:rsidRPr="000F7C04">
              <w:rPr>
                <w:lang w:val="en-GB"/>
              </w:rPr>
              <w:t>0.5</w:t>
            </w:r>
          </w:p>
        </w:tc>
      </w:tr>
    </w:tbl>
    <w:p w14:paraId="1FD1E067" w14:textId="77777777" w:rsidR="00D518FD" w:rsidRPr="000F7C04" w:rsidRDefault="00D518FD">
      <w:pPr>
        <w:keepNext/>
        <w:spacing w:after="120" w:line="240" w:lineRule="auto"/>
        <w:rPr>
          <w:rFonts w:ascii="Times New Roman" w:hAnsi="Times New Roman"/>
          <w:b/>
          <w:i/>
          <w:lang w:val="en-GB"/>
        </w:rPr>
      </w:pPr>
    </w:p>
    <w:p w14:paraId="519A8704" w14:textId="77777777" w:rsidR="00D518FD" w:rsidRPr="000F7C04" w:rsidRDefault="00000000">
      <w:pPr>
        <w:pStyle w:val="P68B1DB1-Normale3"/>
        <w:keepNext/>
        <w:spacing w:after="120" w:line="240" w:lineRule="auto"/>
        <w:rPr>
          <w:lang w:val="en-GB"/>
        </w:rPr>
      </w:pPr>
      <w:r w:rsidRPr="000F7C04">
        <w:rPr>
          <w:lang w:val="en-GB"/>
        </w:rPr>
        <w:t>READING LIST</w:t>
      </w:r>
    </w:p>
    <w:p w14:paraId="303A75C0" w14:textId="77777777" w:rsidR="00D518FD" w:rsidRPr="000F7C04" w:rsidRDefault="00000000">
      <w:pPr>
        <w:pStyle w:val="P68B1DB1-Normale4"/>
        <w:tabs>
          <w:tab w:val="left" w:pos="720"/>
        </w:tabs>
        <w:spacing w:after="120" w:line="240" w:lineRule="auto"/>
        <w:rPr>
          <w:lang w:val="en-GB"/>
        </w:rPr>
      </w:pPr>
      <w:proofErr w:type="spellStart"/>
      <w:r w:rsidRPr="000F7C04">
        <w:rPr>
          <w:smallCaps/>
          <w:lang w:val="en-GB"/>
        </w:rPr>
        <w:t>Cevolani</w:t>
      </w:r>
      <w:proofErr w:type="spellEnd"/>
      <w:r w:rsidRPr="000F7C04">
        <w:rPr>
          <w:smallCaps/>
          <w:lang w:val="en-GB"/>
        </w:rPr>
        <w:t xml:space="preserve"> D.</w:t>
      </w:r>
      <w:r w:rsidRPr="000F7C04">
        <w:rPr>
          <w:lang w:val="en-GB"/>
        </w:rPr>
        <w:t xml:space="preserve">, </w:t>
      </w:r>
      <w:proofErr w:type="spellStart"/>
      <w:r w:rsidRPr="000F7C04">
        <w:rPr>
          <w:i/>
          <w:lang w:val="en-GB"/>
        </w:rPr>
        <w:t>Gli</w:t>
      </w:r>
      <w:proofErr w:type="spellEnd"/>
      <w:r w:rsidRPr="000F7C04">
        <w:rPr>
          <w:i/>
          <w:lang w:val="en-GB"/>
        </w:rPr>
        <w:t xml:space="preserve"> </w:t>
      </w:r>
      <w:proofErr w:type="spellStart"/>
      <w:r w:rsidRPr="000F7C04">
        <w:rPr>
          <w:i/>
          <w:lang w:val="en-GB"/>
        </w:rPr>
        <w:t>alimenti</w:t>
      </w:r>
      <w:proofErr w:type="spellEnd"/>
      <w:r w:rsidRPr="000F7C04">
        <w:rPr>
          <w:i/>
          <w:lang w:val="en-GB"/>
        </w:rPr>
        <w:t xml:space="preserve"> per la </w:t>
      </w:r>
      <w:proofErr w:type="spellStart"/>
      <w:r w:rsidRPr="000F7C04">
        <w:rPr>
          <w:i/>
          <w:lang w:val="en-GB"/>
        </w:rPr>
        <w:t>vacca</w:t>
      </w:r>
      <w:proofErr w:type="spellEnd"/>
      <w:r w:rsidRPr="000F7C04">
        <w:rPr>
          <w:i/>
          <w:lang w:val="en-GB"/>
        </w:rPr>
        <w:t xml:space="preserve"> da latte</w:t>
      </w:r>
      <w:r w:rsidRPr="000F7C04">
        <w:rPr>
          <w:lang w:val="en-GB"/>
        </w:rPr>
        <w:t xml:space="preserve">, </w:t>
      </w:r>
      <w:proofErr w:type="spellStart"/>
      <w:r w:rsidRPr="000F7C04">
        <w:rPr>
          <w:lang w:val="en-GB"/>
        </w:rPr>
        <w:t>Edagricole</w:t>
      </w:r>
      <w:proofErr w:type="spellEnd"/>
      <w:r w:rsidRPr="000F7C04">
        <w:rPr>
          <w:lang w:val="en-GB"/>
        </w:rPr>
        <w:t>, Bologna, 2006.</w:t>
      </w:r>
    </w:p>
    <w:p w14:paraId="1DD193F4" w14:textId="1561F560" w:rsidR="00D518FD" w:rsidRPr="000F7C04" w:rsidRDefault="00000000">
      <w:pPr>
        <w:pStyle w:val="P68B1DB1-Normale4"/>
        <w:tabs>
          <w:tab w:val="left" w:pos="720"/>
        </w:tabs>
        <w:spacing w:after="120" w:line="240" w:lineRule="auto"/>
        <w:rPr>
          <w:lang w:val="en-GB"/>
        </w:rPr>
      </w:pPr>
      <w:proofErr w:type="spellStart"/>
      <w:r w:rsidRPr="000F7C04">
        <w:rPr>
          <w:smallCaps/>
          <w:lang w:val="en-GB"/>
        </w:rPr>
        <w:t>Sauvant</w:t>
      </w:r>
      <w:proofErr w:type="spellEnd"/>
      <w:r w:rsidRPr="000F7C04">
        <w:rPr>
          <w:smallCaps/>
          <w:lang w:val="en-GB"/>
        </w:rPr>
        <w:t xml:space="preserve"> D., Perez J.M., Tran</w:t>
      </w:r>
      <w:r w:rsidRPr="000F7C04">
        <w:rPr>
          <w:lang w:val="en-GB"/>
        </w:rPr>
        <w:t xml:space="preserve">, </w:t>
      </w:r>
      <w:r w:rsidRPr="000F7C04">
        <w:rPr>
          <w:i/>
          <w:lang w:val="en-GB"/>
        </w:rPr>
        <w:t>Tables of composition and nutritional value of feed materials</w:t>
      </w:r>
      <w:r w:rsidRPr="000F7C04">
        <w:rPr>
          <w:lang w:val="en-GB"/>
        </w:rPr>
        <w:t>, INRA Ed., 2002</w:t>
      </w:r>
    </w:p>
    <w:p w14:paraId="62303026" w14:textId="77777777" w:rsidR="00D518FD" w:rsidRPr="000F7C04" w:rsidRDefault="00000000">
      <w:pPr>
        <w:pStyle w:val="P68B1DB1-Normale4"/>
        <w:tabs>
          <w:tab w:val="left" w:pos="720"/>
        </w:tabs>
        <w:spacing w:after="120" w:line="240" w:lineRule="auto"/>
        <w:rPr>
          <w:smallCaps/>
          <w:lang w:val="en-GB"/>
        </w:rPr>
      </w:pPr>
      <w:proofErr w:type="spellStart"/>
      <w:r w:rsidRPr="000F7C04">
        <w:rPr>
          <w:smallCaps/>
          <w:lang w:val="en-GB"/>
        </w:rPr>
        <w:t>Moughan</w:t>
      </w:r>
      <w:proofErr w:type="spellEnd"/>
      <w:r w:rsidRPr="000F7C04">
        <w:rPr>
          <w:smallCaps/>
          <w:lang w:val="en-GB"/>
        </w:rPr>
        <w:t xml:space="preserve">, P. J., and W. H. Hendriks. 2018. </w:t>
      </w:r>
      <w:r w:rsidRPr="000F7C04">
        <w:rPr>
          <w:i/>
          <w:lang w:val="en-GB"/>
        </w:rPr>
        <w:t>Feed evaluation science.</w:t>
      </w:r>
      <w:r w:rsidRPr="000F7C04">
        <w:rPr>
          <w:smallCaps/>
          <w:lang w:val="en-GB"/>
        </w:rPr>
        <w:t xml:space="preserve"> Wageningen Academic Publishers, Wageningen, The Netherlands, 524 pp.</w:t>
      </w:r>
    </w:p>
    <w:p w14:paraId="6A0F25F6" w14:textId="77777777" w:rsidR="00D518FD" w:rsidRPr="000F7C04" w:rsidRDefault="00D518FD">
      <w:pPr>
        <w:tabs>
          <w:tab w:val="left" w:pos="720"/>
        </w:tabs>
        <w:spacing w:after="120" w:line="240" w:lineRule="auto"/>
        <w:rPr>
          <w:rFonts w:ascii="Times New Roman" w:hAnsi="Times New Roman"/>
          <w:lang w:val="en-GB"/>
        </w:rPr>
      </w:pPr>
    </w:p>
    <w:p w14:paraId="1CB7E8D9" w14:textId="77777777" w:rsidR="00D518FD" w:rsidRPr="000F7C04" w:rsidRDefault="00000000">
      <w:pPr>
        <w:pStyle w:val="P68B1DB1-Normale3"/>
        <w:spacing w:after="120" w:line="240" w:lineRule="auto"/>
        <w:rPr>
          <w:lang w:val="en-GB"/>
        </w:rPr>
      </w:pPr>
      <w:r w:rsidRPr="000F7C04">
        <w:rPr>
          <w:lang w:val="en-GB"/>
        </w:rPr>
        <w:t>TEACHING METHOD</w:t>
      </w:r>
    </w:p>
    <w:p w14:paraId="566C8FBE" w14:textId="77777777" w:rsidR="00D518FD" w:rsidRPr="000F7C04" w:rsidRDefault="00000000">
      <w:pPr>
        <w:pStyle w:val="P68B1DB1-Testo26"/>
        <w:spacing w:after="120" w:line="240" w:lineRule="auto"/>
        <w:ind w:firstLine="0"/>
        <w:rPr>
          <w:lang w:val="en-GB"/>
        </w:rPr>
      </w:pPr>
      <w:r w:rsidRPr="000F7C04">
        <w:rPr>
          <w:lang w:val="en-GB"/>
        </w:rPr>
        <w:t>Frontal lectures and classroom discussions in which the key aspects of the subject are presented along with formulation application examples and the construction of an optimisation model in Excel.</w:t>
      </w:r>
    </w:p>
    <w:p w14:paraId="1DD34DBB" w14:textId="4A8D6FFE" w:rsidR="00D518FD" w:rsidRPr="000F7C04" w:rsidRDefault="00000000">
      <w:pPr>
        <w:pStyle w:val="P68B1DB1-Testo26"/>
        <w:spacing w:after="120" w:line="240" w:lineRule="auto"/>
        <w:ind w:firstLine="0"/>
        <w:rPr>
          <w:lang w:val="en-GB"/>
        </w:rPr>
      </w:pPr>
      <w:r w:rsidRPr="000F7C04">
        <w:rPr>
          <w:lang w:val="en-GB"/>
        </w:rPr>
        <w:t>Possible application seminars incorporating the direct experiences of operators in the feed and laboratory sector.</w:t>
      </w:r>
    </w:p>
    <w:p w14:paraId="4E59D361" w14:textId="75268AA3" w:rsidR="00D518FD" w:rsidRPr="000F7C04" w:rsidRDefault="00000000">
      <w:pPr>
        <w:pStyle w:val="P68B1DB1-Testo26"/>
        <w:spacing w:after="120" w:line="240" w:lineRule="auto"/>
        <w:ind w:firstLine="0"/>
        <w:rPr>
          <w:lang w:val="en-GB"/>
        </w:rPr>
      </w:pPr>
      <w:r w:rsidRPr="000F7C04">
        <w:rPr>
          <w:lang w:val="en-GB"/>
        </w:rPr>
        <w:t>Exercises at home with the aid of materials provided by the lecturer on the Blackboard platform.</w:t>
      </w:r>
    </w:p>
    <w:p w14:paraId="670EFEE9" w14:textId="68CB1C23" w:rsidR="00D518FD" w:rsidRPr="000F7C04" w:rsidRDefault="00000000">
      <w:pPr>
        <w:pStyle w:val="P68B1DB1-Testo26"/>
        <w:spacing w:after="120" w:line="240" w:lineRule="auto"/>
        <w:ind w:firstLine="0"/>
        <w:rPr>
          <w:lang w:val="en-GB"/>
        </w:rPr>
      </w:pPr>
      <w:r w:rsidRPr="000F7C04">
        <w:rPr>
          <w:lang w:val="en-GB"/>
        </w:rPr>
        <w:t>The course also includes the analysis of case studies with feed system techniques as well as visits to feed plants.</w:t>
      </w:r>
    </w:p>
    <w:p w14:paraId="45562635" w14:textId="77777777" w:rsidR="00D518FD" w:rsidRPr="000F7C04" w:rsidRDefault="00D518FD">
      <w:pPr>
        <w:pStyle w:val="Testo2"/>
        <w:spacing w:after="120" w:line="240" w:lineRule="auto"/>
        <w:rPr>
          <w:rFonts w:ascii="Times New Roman" w:hAnsi="Times New Roman"/>
          <w:sz w:val="20"/>
          <w:lang w:val="en-GB"/>
        </w:rPr>
      </w:pPr>
    </w:p>
    <w:p w14:paraId="150498DF" w14:textId="77777777" w:rsidR="00D518FD" w:rsidRPr="000F7C04" w:rsidRDefault="00000000">
      <w:pPr>
        <w:pStyle w:val="P68B1DB1-Normale3"/>
        <w:spacing w:after="120" w:line="240" w:lineRule="auto"/>
        <w:rPr>
          <w:lang w:val="en-GB"/>
        </w:rPr>
      </w:pPr>
      <w:r w:rsidRPr="000F7C04">
        <w:rPr>
          <w:lang w:val="en-GB"/>
        </w:rPr>
        <w:t>ASSESSMENT METHOD AND CRITERIA</w:t>
      </w:r>
    </w:p>
    <w:p w14:paraId="6C695FC7" w14:textId="77777777" w:rsidR="00D518FD" w:rsidRPr="000F7C04" w:rsidRDefault="00000000">
      <w:pPr>
        <w:pStyle w:val="P68B1DB1-Testo26"/>
        <w:spacing w:after="120" w:line="240" w:lineRule="auto"/>
        <w:ind w:firstLine="0"/>
        <w:rPr>
          <w:lang w:val="en-GB"/>
        </w:rPr>
      </w:pPr>
      <w:r w:rsidRPr="000F7C04">
        <w:rPr>
          <w:lang w:val="en-GB"/>
        </w:rPr>
        <w:t>A final oral exam which, in addition to testing the student's knowledge of the material presented in class and during technical visits and seminars, also includes the formulation of a raw material mix using software produced by the student in Excel format during the course.</w:t>
      </w:r>
    </w:p>
    <w:p w14:paraId="218C3B0C" w14:textId="77777777" w:rsidR="00D518FD" w:rsidRPr="000F7C04" w:rsidRDefault="00000000">
      <w:pPr>
        <w:pStyle w:val="P68B1DB1-Testo26"/>
        <w:spacing w:after="120" w:line="240" w:lineRule="auto"/>
        <w:ind w:firstLine="0"/>
        <w:rPr>
          <w:lang w:val="en-GB"/>
        </w:rPr>
      </w:pPr>
      <w:r w:rsidRPr="000F7C04">
        <w:rPr>
          <w:lang w:val="en-GB"/>
        </w:rPr>
        <w:t>The assessment will focus on the relevance of the student's answers, their appropriate use of the specific terminology, the reasoned and coherent structuring of their discourse, their ability to identify conceptual links and open questions, and their knowledge regarding how to analyse specific formulation problems.</w:t>
      </w:r>
    </w:p>
    <w:p w14:paraId="1BC2089D" w14:textId="77777777" w:rsidR="00D518FD" w:rsidRPr="000F7C04" w:rsidRDefault="00000000">
      <w:pPr>
        <w:pStyle w:val="P68B1DB1-Testo26"/>
        <w:spacing w:after="120" w:line="240" w:lineRule="auto"/>
        <w:ind w:firstLine="0"/>
        <w:rPr>
          <w:lang w:val="en-GB"/>
        </w:rPr>
      </w:pPr>
      <w:r w:rsidRPr="000F7C04">
        <w:rPr>
          <w:lang w:val="en-GB"/>
        </w:rPr>
        <w:t>There is a single final mark.</w:t>
      </w:r>
    </w:p>
    <w:p w14:paraId="7DD12CEC" w14:textId="77777777" w:rsidR="00D518FD" w:rsidRPr="000F7C04" w:rsidRDefault="00D518FD">
      <w:pPr>
        <w:pStyle w:val="Testo2"/>
        <w:spacing w:after="120" w:line="240" w:lineRule="auto"/>
        <w:rPr>
          <w:rFonts w:ascii="Times New Roman" w:hAnsi="Times New Roman"/>
          <w:sz w:val="20"/>
          <w:lang w:val="en-GB"/>
        </w:rPr>
      </w:pPr>
    </w:p>
    <w:p w14:paraId="5CB55B49" w14:textId="77777777" w:rsidR="00D518FD" w:rsidRPr="000F7C04" w:rsidRDefault="00000000">
      <w:pPr>
        <w:pStyle w:val="P68B1DB1-Testo27"/>
        <w:spacing w:after="120" w:line="240" w:lineRule="auto"/>
        <w:ind w:firstLine="0"/>
        <w:rPr>
          <w:lang w:val="en-GB"/>
        </w:rPr>
      </w:pPr>
      <w:r w:rsidRPr="000F7C04">
        <w:rPr>
          <w:lang w:val="en-GB"/>
        </w:rPr>
        <w:lastRenderedPageBreak/>
        <w:t>NOTES AND PREREQUISITES</w:t>
      </w:r>
    </w:p>
    <w:p w14:paraId="347BDB9C" w14:textId="77777777" w:rsidR="00D518FD" w:rsidRPr="000F7C04" w:rsidRDefault="00000000">
      <w:pPr>
        <w:pStyle w:val="P68B1DB1-Testo26"/>
        <w:spacing w:after="120" w:line="240" w:lineRule="auto"/>
        <w:ind w:firstLine="0"/>
        <w:rPr>
          <w:lang w:val="en-GB"/>
        </w:rPr>
      </w:pPr>
      <w:r w:rsidRPr="000F7C04">
        <w:rPr>
          <w:lang w:val="en-GB"/>
        </w:rPr>
        <w:t xml:space="preserve">The student must possess knowledge of animal nutrition and the raw materials used in the animal production chain. </w:t>
      </w:r>
    </w:p>
    <w:p w14:paraId="1A751556" w14:textId="77777777" w:rsidR="00D518FD" w:rsidRPr="000F7C04" w:rsidRDefault="00000000">
      <w:pPr>
        <w:spacing w:after="120" w:line="240" w:lineRule="auto"/>
        <w:rPr>
          <w:lang w:val="en-GB"/>
        </w:rPr>
      </w:pPr>
      <w:r w:rsidRPr="000F7C04">
        <w:rPr>
          <w:lang w:val="en-GB"/>
        </w:rPr>
        <w:t>Should the health situation relating to the Covid-19 pandemic not allow face-to-face teaching, remote teaching in synchronous or asynchronous mode will be guaranteed; this will be communicated in good time to students.</w:t>
      </w:r>
    </w:p>
    <w:p w14:paraId="124F7A51" w14:textId="77777777" w:rsidR="00D518FD" w:rsidRPr="000F7C04" w:rsidRDefault="00D518FD">
      <w:pPr>
        <w:spacing w:after="120" w:line="240" w:lineRule="auto"/>
        <w:rPr>
          <w:rFonts w:ascii="Times New Roman" w:hAnsi="Times New Roman"/>
          <w:b/>
          <w:i/>
          <w:lang w:val="en-GB"/>
        </w:rPr>
      </w:pPr>
    </w:p>
    <w:p w14:paraId="6CBF3C8F" w14:textId="77777777" w:rsidR="000F7C04" w:rsidRPr="000F7C04" w:rsidRDefault="000F7C04" w:rsidP="000F7C04">
      <w:pPr>
        <w:pStyle w:val="P68B1DB1-Testo25"/>
        <w:ind w:firstLine="0"/>
        <w:rPr>
          <w:lang w:val="en-GB"/>
        </w:rPr>
      </w:pPr>
      <w:r w:rsidRPr="000F7C04">
        <w:rPr>
          <w:lang w:val="en-GB"/>
        </w:rPr>
        <w:t>Information on office hours available on the teacher's personal page at http://docenti.unicatt.it/.</w:t>
      </w:r>
    </w:p>
    <w:p w14:paraId="782DC07A" w14:textId="77777777" w:rsidR="00D518FD" w:rsidRPr="000F7C04" w:rsidRDefault="00D518FD">
      <w:pPr>
        <w:pStyle w:val="Testo2"/>
        <w:spacing w:after="120" w:line="240" w:lineRule="auto"/>
        <w:rPr>
          <w:rFonts w:ascii="Times New Roman" w:hAnsi="Times New Roman"/>
          <w:sz w:val="20"/>
          <w:lang w:val="en-GB"/>
        </w:rPr>
      </w:pPr>
    </w:p>
    <w:p w14:paraId="0E3E03E1" w14:textId="77777777" w:rsidR="00D518FD" w:rsidRPr="000F7C04" w:rsidRDefault="00D518FD">
      <w:pPr>
        <w:pStyle w:val="Testo2"/>
        <w:spacing w:after="120" w:line="240" w:lineRule="auto"/>
        <w:rPr>
          <w:rFonts w:ascii="Times New Roman" w:hAnsi="Times New Roman"/>
          <w:sz w:val="20"/>
          <w:lang w:val="en-GB"/>
        </w:rPr>
      </w:pPr>
    </w:p>
    <w:p w14:paraId="4096F75B" w14:textId="0DD145AC" w:rsidR="00D518FD" w:rsidRPr="000F7C04" w:rsidRDefault="00000000">
      <w:pPr>
        <w:pStyle w:val="P68B1DB1-Titolo11"/>
        <w:spacing w:before="0" w:after="120" w:line="240" w:lineRule="auto"/>
        <w:jc w:val="both"/>
        <w:rPr>
          <w:lang w:val="en-GB"/>
        </w:rPr>
      </w:pPr>
      <w:r w:rsidRPr="000F7C04">
        <w:rPr>
          <w:lang w:val="en-GB"/>
        </w:rPr>
        <w:t>Module on Nutritional Evaluation of Foods and Dynamic Rationing Models</w:t>
      </w:r>
    </w:p>
    <w:p w14:paraId="7A9C38A5" w14:textId="77777777" w:rsidR="00D518FD" w:rsidRPr="000F7C04" w:rsidRDefault="00000000">
      <w:pPr>
        <w:pStyle w:val="P68B1DB1-Titolo22"/>
        <w:spacing w:after="120" w:line="240" w:lineRule="auto"/>
        <w:rPr>
          <w:lang w:val="en-GB"/>
        </w:rPr>
      </w:pPr>
      <w:r w:rsidRPr="000F7C04">
        <w:rPr>
          <w:lang w:val="en-GB"/>
        </w:rPr>
        <w:t>Prof. Antonio Gallo</w:t>
      </w:r>
    </w:p>
    <w:p w14:paraId="01173FEA" w14:textId="77777777" w:rsidR="00D518FD" w:rsidRPr="000F7C04" w:rsidRDefault="00D518FD">
      <w:pPr>
        <w:spacing w:after="120" w:line="240" w:lineRule="auto"/>
        <w:rPr>
          <w:rFonts w:ascii="Times New Roman" w:hAnsi="Times New Roman"/>
          <w:b/>
          <w:i/>
          <w:lang w:val="en-GB"/>
        </w:rPr>
      </w:pPr>
    </w:p>
    <w:p w14:paraId="563602EF" w14:textId="306A8258" w:rsidR="00D518FD" w:rsidRPr="000F7C04" w:rsidRDefault="00000000">
      <w:pPr>
        <w:pStyle w:val="P68B1DB1-Normale3"/>
        <w:spacing w:after="120" w:line="240" w:lineRule="auto"/>
        <w:rPr>
          <w:lang w:val="en-GB"/>
        </w:rPr>
      </w:pPr>
      <w:r w:rsidRPr="000F7C04">
        <w:rPr>
          <w:lang w:val="en-GB"/>
        </w:rPr>
        <w:t>COURSE AIMS AND INTENDED LEARNING OUTCOMES</w:t>
      </w:r>
    </w:p>
    <w:p w14:paraId="711B615D" w14:textId="41583C02" w:rsidR="00D518FD" w:rsidRPr="000F7C04" w:rsidRDefault="00000000">
      <w:pPr>
        <w:pStyle w:val="Corpotesto"/>
        <w:spacing w:after="120"/>
        <w:rPr>
          <w:lang w:val="en-GB"/>
        </w:rPr>
      </w:pPr>
      <w:r w:rsidRPr="000F7C04">
        <w:rPr>
          <w:lang w:val="en-GB"/>
        </w:rPr>
        <w:t>The aim of the course is to provide students with a knowledge and understanding of the chemical-nutritional characteristics of animal feeds, as well as the theoretical and practical foundations for correctly evaluating animal feeds in order to formulate balanced rations in their various components so as to maximise feed use efficiency by animals in livestock production, minimise the environmental impact of farms, and guarantee animal welfare and the safety of foods of animal origin. The course will address: the main digestive and fermentative processes of the principal nutrients that occur in the gastrointestinal tract of animals; the basic concepts of empirically static and/or mechanistic models used in animal nutritional models; the basics of the modelling applied to understanding the mechanisms of nutrient digestion in the gastrointestinal tract of animals. At the end of the course, students will be able to correctly evaluate the main chemical-physical and biological characteristics of animal feeds. They will know the main methods for evaluating feeds in animal nutritional models (empirical and mechanistic, static or dynamic). Students will be able to understand the mechanisms of digestion/degradation of the main nutrients in the gastrointestinal tract of animals and formulate balanced rations that cover the needs of animals, in order to maximise their food efficiency, and safeguard their well-being and environmental sustainability.</w:t>
      </w:r>
    </w:p>
    <w:p w14:paraId="74B807B6" w14:textId="77777777" w:rsidR="00D518FD" w:rsidRPr="000F7C04" w:rsidRDefault="00D518FD">
      <w:pPr>
        <w:spacing w:after="120" w:line="240" w:lineRule="auto"/>
        <w:rPr>
          <w:rFonts w:ascii="Times New Roman" w:hAnsi="Times New Roman"/>
          <w:b/>
          <w:i/>
          <w:lang w:val="en-GB"/>
        </w:rPr>
      </w:pPr>
    </w:p>
    <w:p w14:paraId="4273251F" w14:textId="1A4C1B17" w:rsidR="00D518FD" w:rsidRPr="000F7C04" w:rsidRDefault="00000000">
      <w:pPr>
        <w:pStyle w:val="P68B1DB1-Normale3"/>
        <w:spacing w:after="120" w:line="240" w:lineRule="auto"/>
        <w:rPr>
          <w:lang w:val="en-GB"/>
        </w:rPr>
      </w:pPr>
      <w:r w:rsidRPr="000F7C04">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0"/>
        <w:gridCol w:w="14"/>
        <w:gridCol w:w="1126"/>
      </w:tblGrid>
      <w:tr w:rsidR="00D518FD" w:rsidRPr="000F7C04" w14:paraId="1059B309" w14:textId="77777777">
        <w:tc>
          <w:tcPr>
            <w:tcW w:w="5760" w:type="dxa"/>
            <w:gridSpan w:val="2"/>
            <w:tcBorders>
              <w:top w:val="single" w:sz="4" w:space="0" w:color="auto"/>
              <w:left w:val="nil"/>
              <w:bottom w:val="single" w:sz="4" w:space="0" w:color="auto"/>
              <w:right w:val="nil"/>
            </w:tcBorders>
            <w:hideMark/>
          </w:tcPr>
          <w:p w14:paraId="5663E54F" w14:textId="77777777" w:rsidR="00D518FD" w:rsidRPr="000F7C04" w:rsidRDefault="00000000">
            <w:pPr>
              <w:pStyle w:val="P68B1DB1-Normale4"/>
              <w:spacing w:line="240" w:lineRule="auto"/>
              <w:rPr>
                <w:lang w:val="en-GB"/>
              </w:rPr>
            </w:pPr>
            <w:r w:rsidRPr="000F7C04">
              <w:rPr>
                <w:lang w:val="en-GB"/>
              </w:rPr>
              <w:t>Topic</w:t>
            </w:r>
          </w:p>
        </w:tc>
        <w:tc>
          <w:tcPr>
            <w:tcW w:w="1146" w:type="dxa"/>
            <w:tcBorders>
              <w:top w:val="single" w:sz="4" w:space="0" w:color="auto"/>
              <w:left w:val="nil"/>
              <w:bottom w:val="single" w:sz="4" w:space="0" w:color="auto"/>
              <w:right w:val="nil"/>
            </w:tcBorders>
          </w:tcPr>
          <w:p w14:paraId="5160F9BD" w14:textId="77777777" w:rsidR="00D518FD" w:rsidRPr="000F7C04" w:rsidRDefault="00000000">
            <w:pPr>
              <w:pStyle w:val="P68B1DB1-Normale4"/>
              <w:spacing w:line="240" w:lineRule="auto"/>
              <w:jc w:val="center"/>
              <w:rPr>
                <w:lang w:val="en-GB"/>
              </w:rPr>
            </w:pPr>
            <w:r w:rsidRPr="000F7C04">
              <w:rPr>
                <w:lang w:val="en-GB"/>
              </w:rPr>
              <w:t>ECTS</w:t>
            </w:r>
          </w:p>
        </w:tc>
      </w:tr>
      <w:tr w:rsidR="00D518FD" w:rsidRPr="000F7C04" w14:paraId="4E5AB28C" w14:textId="77777777">
        <w:tc>
          <w:tcPr>
            <w:tcW w:w="5760" w:type="dxa"/>
            <w:gridSpan w:val="2"/>
            <w:tcBorders>
              <w:top w:val="single" w:sz="4" w:space="0" w:color="auto"/>
              <w:left w:val="nil"/>
              <w:bottom w:val="single" w:sz="4" w:space="0" w:color="auto"/>
              <w:right w:val="nil"/>
            </w:tcBorders>
          </w:tcPr>
          <w:p w14:paraId="5C361EE8" w14:textId="77777777" w:rsidR="00D518FD" w:rsidRPr="000F7C04" w:rsidRDefault="00000000">
            <w:pPr>
              <w:pStyle w:val="P68B1DB1-Normale5"/>
              <w:tabs>
                <w:tab w:val="left" w:pos="720"/>
              </w:tabs>
              <w:spacing w:line="240" w:lineRule="auto"/>
              <w:rPr>
                <w:lang w:val="en-GB"/>
              </w:rPr>
            </w:pPr>
            <w:r w:rsidRPr="000F7C04">
              <w:rPr>
                <w:lang w:val="en-GB"/>
              </w:rPr>
              <w:t>General section</w:t>
            </w:r>
          </w:p>
        </w:tc>
        <w:tc>
          <w:tcPr>
            <w:tcW w:w="1146" w:type="dxa"/>
            <w:tcBorders>
              <w:top w:val="single" w:sz="4" w:space="0" w:color="auto"/>
              <w:left w:val="nil"/>
              <w:bottom w:val="single" w:sz="4" w:space="0" w:color="auto"/>
              <w:right w:val="nil"/>
            </w:tcBorders>
          </w:tcPr>
          <w:p w14:paraId="234CA4CB" w14:textId="77777777" w:rsidR="00D518FD" w:rsidRPr="000F7C04" w:rsidRDefault="00D518FD">
            <w:pPr>
              <w:spacing w:line="240" w:lineRule="auto"/>
              <w:jc w:val="center"/>
              <w:rPr>
                <w:rFonts w:ascii="Times New Roman" w:hAnsi="Times New Roman"/>
                <w:lang w:val="en-GB"/>
              </w:rPr>
            </w:pPr>
          </w:p>
        </w:tc>
      </w:tr>
      <w:tr w:rsidR="00D518FD" w:rsidRPr="000F7C04" w14:paraId="004371E5" w14:textId="77777777">
        <w:tc>
          <w:tcPr>
            <w:tcW w:w="5760" w:type="dxa"/>
            <w:gridSpan w:val="2"/>
            <w:tcBorders>
              <w:top w:val="single" w:sz="4" w:space="0" w:color="auto"/>
              <w:left w:val="nil"/>
              <w:bottom w:val="single" w:sz="4" w:space="0" w:color="auto"/>
              <w:right w:val="nil"/>
            </w:tcBorders>
            <w:hideMark/>
          </w:tcPr>
          <w:p w14:paraId="0880848C" w14:textId="77777777" w:rsidR="00D518FD" w:rsidRPr="000F7C04" w:rsidRDefault="00000000">
            <w:pPr>
              <w:pStyle w:val="P68B1DB1-Normale4"/>
              <w:tabs>
                <w:tab w:val="left" w:pos="720"/>
              </w:tabs>
              <w:spacing w:line="240" w:lineRule="auto"/>
              <w:rPr>
                <w:lang w:val="en-GB"/>
              </w:rPr>
            </w:pPr>
            <w:r w:rsidRPr="000F7C04">
              <w:rPr>
                <w:lang w:val="en-GB"/>
              </w:rPr>
              <w:t xml:space="preserve">The principal animal feeds and their main chemical-nutritional characteristics. Feed characterisation by chemical analysis. </w:t>
            </w:r>
          </w:p>
        </w:tc>
        <w:tc>
          <w:tcPr>
            <w:tcW w:w="1146" w:type="dxa"/>
            <w:tcBorders>
              <w:top w:val="single" w:sz="4" w:space="0" w:color="auto"/>
              <w:left w:val="nil"/>
              <w:bottom w:val="single" w:sz="4" w:space="0" w:color="auto"/>
              <w:right w:val="nil"/>
            </w:tcBorders>
            <w:hideMark/>
          </w:tcPr>
          <w:p w14:paraId="4569A09D"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392F25CF" w14:textId="77777777">
        <w:tc>
          <w:tcPr>
            <w:tcW w:w="5760" w:type="dxa"/>
            <w:gridSpan w:val="2"/>
            <w:tcBorders>
              <w:top w:val="single" w:sz="4" w:space="0" w:color="auto"/>
              <w:left w:val="nil"/>
              <w:bottom w:val="single" w:sz="4" w:space="0" w:color="auto"/>
              <w:right w:val="nil"/>
            </w:tcBorders>
          </w:tcPr>
          <w:p w14:paraId="3674FCEA" w14:textId="77777777" w:rsidR="00D518FD" w:rsidRPr="000F7C04" w:rsidRDefault="00000000">
            <w:pPr>
              <w:pStyle w:val="P68B1DB1-Normale4"/>
              <w:tabs>
                <w:tab w:val="left" w:pos="720"/>
              </w:tabs>
              <w:spacing w:line="240" w:lineRule="auto"/>
              <w:rPr>
                <w:lang w:val="en-GB"/>
              </w:rPr>
            </w:pPr>
            <w:r w:rsidRPr="000F7C04">
              <w:rPr>
                <w:lang w:val="en-GB"/>
              </w:rPr>
              <w:lastRenderedPageBreak/>
              <w:t xml:space="preserve">Collection, preparation and storage of samples; main methods of chemical, physical and biological analysis. </w:t>
            </w:r>
          </w:p>
        </w:tc>
        <w:tc>
          <w:tcPr>
            <w:tcW w:w="1146" w:type="dxa"/>
            <w:tcBorders>
              <w:top w:val="single" w:sz="4" w:space="0" w:color="auto"/>
              <w:left w:val="nil"/>
              <w:bottom w:val="single" w:sz="4" w:space="0" w:color="auto"/>
              <w:right w:val="nil"/>
            </w:tcBorders>
          </w:tcPr>
          <w:p w14:paraId="4117629E"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5086A629" w14:textId="77777777">
        <w:tc>
          <w:tcPr>
            <w:tcW w:w="5760" w:type="dxa"/>
            <w:gridSpan w:val="2"/>
            <w:tcBorders>
              <w:top w:val="single" w:sz="4" w:space="0" w:color="auto"/>
              <w:left w:val="nil"/>
              <w:bottom w:val="single" w:sz="4" w:space="0" w:color="auto"/>
              <w:right w:val="nil"/>
            </w:tcBorders>
          </w:tcPr>
          <w:p w14:paraId="60CA4AF1" w14:textId="77777777" w:rsidR="00D518FD" w:rsidRPr="000F7C04" w:rsidRDefault="00000000">
            <w:pPr>
              <w:pStyle w:val="P68B1DB1-Normale4"/>
              <w:tabs>
                <w:tab w:val="left" w:pos="720"/>
              </w:tabs>
              <w:spacing w:line="240" w:lineRule="auto"/>
              <w:rPr>
                <w:lang w:val="en-GB"/>
              </w:rPr>
            </w:pPr>
            <w:r w:rsidRPr="000F7C04">
              <w:rPr>
                <w:lang w:val="en-GB"/>
              </w:rPr>
              <w:t>Near-infrared spectroscopy (NIRS) and related technologies for estimating feed quality.</w:t>
            </w:r>
          </w:p>
        </w:tc>
        <w:tc>
          <w:tcPr>
            <w:tcW w:w="1146" w:type="dxa"/>
            <w:tcBorders>
              <w:top w:val="single" w:sz="4" w:space="0" w:color="auto"/>
              <w:left w:val="nil"/>
              <w:bottom w:val="single" w:sz="4" w:space="0" w:color="auto"/>
              <w:right w:val="nil"/>
            </w:tcBorders>
          </w:tcPr>
          <w:p w14:paraId="4BA9EA19"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4111A0A0" w14:textId="77777777">
        <w:tc>
          <w:tcPr>
            <w:tcW w:w="5760" w:type="dxa"/>
            <w:gridSpan w:val="2"/>
            <w:tcBorders>
              <w:top w:val="single" w:sz="4" w:space="0" w:color="auto"/>
              <w:left w:val="nil"/>
              <w:bottom w:val="single" w:sz="4" w:space="0" w:color="auto"/>
              <w:right w:val="nil"/>
            </w:tcBorders>
          </w:tcPr>
          <w:p w14:paraId="58A14E02" w14:textId="77777777" w:rsidR="00D518FD" w:rsidRPr="000F7C04" w:rsidRDefault="00000000">
            <w:pPr>
              <w:pStyle w:val="P68B1DB1-Normale5"/>
              <w:tabs>
                <w:tab w:val="left" w:pos="720"/>
              </w:tabs>
              <w:spacing w:line="240" w:lineRule="auto"/>
              <w:rPr>
                <w:lang w:val="en-GB"/>
              </w:rPr>
            </w:pPr>
            <w:r w:rsidRPr="000F7C04">
              <w:rPr>
                <w:lang w:val="en-GB"/>
              </w:rPr>
              <w:t>Applied section: evaluation of fodder and by-products</w:t>
            </w:r>
          </w:p>
        </w:tc>
        <w:tc>
          <w:tcPr>
            <w:tcW w:w="1146" w:type="dxa"/>
            <w:tcBorders>
              <w:top w:val="single" w:sz="4" w:space="0" w:color="auto"/>
              <w:left w:val="nil"/>
              <w:bottom w:val="single" w:sz="4" w:space="0" w:color="auto"/>
              <w:right w:val="nil"/>
            </w:tcBorders>
          </w:tcPr>
          <w:p w14:paraId="3F3A77C5" w14:textId="77777777" w:rsidR="00D518FD" w:rsidRPr="000F7C04" w:rsidRDefault="00D518FD">
            <w:pPr>
              <w:spacing w:line="240" w:lineRule="auto"/>
              <w:jc w:val="center"/>
              <w:rPr>
                <w:rFonts w:ascii="Times New Roman" w:hAnsi="Times New Roman"/>
                <w:lang w:val="en-GB"/>
              </w:rPr>
            </w:pPr>
          </w:p>
        </w:tc>
      </w:tr>
      <w:tr w:rsidR="00D518FD" w:rsidRPr="000F7C04" w14:paraId="119C8077" w14:textId="77777777">
        <w:tc>
          <w:tcPr>
            <w:tcW w:w="5760" w:type="dxa"/>
            <w:gridSpan w:val="2"/>
            <w:tcBorders>
              <w:top w:val="single" w:sz="4" w:space="0" w:color="auto"/>
              <w:left w:val="nil"/>
              <w:bottom w:val="single" w:sz="4" w:space="0" w:color="auto"/>
              <w:right w:val="nil"/>
            </w:tcBorders>
          </w:tcPr>
          <w:p w14:paraId="5C4BEEB8" w14:textId="77777777" w:rsidR="00D518FD" w:rsidRPr="000F7C04" w:rsidRDefault="00000000">
            <w:pPr>
              <w:pStyle w:val="P68B1DB1-Normale4"/>
              <w:tabs>
                <w:tab w:val="left" w:pos="720"/>
              </w:tabs>
              <w:spacing w:line="240" w:lineRule="auto"/>
              <w:rPr>
                <w:lang w:val="en-GB"/>
              </w:rPr>
            </w:pPr>
            <w:r w:rsidRPr="000F7C04">
              <w:rPr>
                <w:lang w:val="en-GB"/>
              </w:rPr>
              <w:t>Environmental factors affecting fodder quality variation; influence of the developmental stage of the plant on the characteristics of grass; effects of conservation systems.</w:t>
            </w:r>
          </w:p>
        </w:tc>
        <w:tc>
          <w:tcPr>
            <w:tcW w:w="1146" w:type="dxa"/>
            <w:tcBorders>
              <w:top w:val="single" w:sz="4" w:space="0" w:color="auto"/>
              <w:left w:val="nil"/>
              <w:bottom w:val="single" w:sz="4" w:space="0" w:color="auto"/>
              <w:right w:val="nil"/>
            </w:tcBorders>
          </w:tcPr>
          <w:p w14:paraId="6811E574"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53C1E939" w14:textId="77777777">
        <w:tc>
          <w:tcPr>
            <w:tcW w:w="5760" w:type="dxa"/>
            <w:gridSpan w:val="2"/>
            <w:tcBorders>
              <w:top w:val="single" w:sz="4" w:space="0" w:color="auto"/>
              <w:left w:val="nil"/>
              <w:bottom w:val="single" w:sz="4" w:space="0" w:color="auto"/>
              <w:right w:val="nil"/>
            </w:tcBorders>
          </w:tcPr>
          <w:p w14:paraId="3BF9093B" w14:textId="77777777" w:rsidR="00D518FD" w:rsidRPr="000F7C04" w:rsidRDefault="00000000">
            <w:pPr>
              <w:pStyle w:val="P68B1DB1-Normale4"/>
              <w:tabs>
                <w:tab w:val="left" w:pos="720"/>
              </w:tabs>
              <w:spacing w:line="240" w:lineRule="auto"/>
              <w:rPr>
                <w:lang w:val="en-GB"/>
              </w:rPr>
            </w:pPr>
            <w:r w:rsidRPr="000F7C04">
              <w:rPr>
                <w:lang w:val="en-GB"/>
              </w:rPr>
              <w:t xml:space="preserve">Evaluation of dried and ensiled fodder (critical evaluation of the main composition parameters and indicators of fermentation status; variations due to storage compared to green fodder). </w:t>
            </w:r>
          </w:p>
        </w:tc>
        <w:tc>
          <w:tcPr>
            <w:tcW w:w="1146" w:type="dxa"/>
            <w:tcBorders>
              <w:top w:val="single" w:sz="4" w:space="0" w:color="auto"/>
              <w:left w:val="nil"/>
              <w:bottom w:val="single" w:sz="4" w:space="0" w:color="auto"/>
              <w:right w:val="nil"/>
            </w:tcBorders>
          </w:tcPr>
          <w:p w14:paraId="5BE3F885"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201FC4EB" w14:textId="77777777">
        <w:tc>
          <w:tcPr>
            <w:tcW w:w="5760" w:type="dxa"/>
            <w:gridSpan w:val="2"/>
            <w:tcBorders>
              <w:top w:val="single" w:sz="4" w:space="0" w:color="auto"/>
              <w:left w:val="nil"/>
              <w:bottom w:val="single" w:sz="4" w:space="0" w:color="auto"/>
              <w:right w:val="nil"/>
            </w:tcBorders>
          </w:tcPr>
          <w:p w14:paraId="511D008E" w14:textId="77777777" w:rsidR="00D518FD" w:rsidRPr="000F7C04" w:rsidRDefault="00000000">
            <w:pPr>
              <w:pStyle w:val="P68B1DB1-Normale4"/>
              <w:tabs>
                <w:tab w:val="left" w:pos="720"/>
              </w:tabs>
              <w:spacing w:line="240" w:lineRule="auto"/>
              <w:rPr>
                <w:lang w:val="en-GB"/>
              </w:rPr>
            </w:pPr>
            <w:r w:rsidRPr="000F7C04">
              <w:rPr>
                <w:lang w:val="en-GB"/>
              </w:rPr>
              <w:t>The main usable agricultural by-products; chemical, microbiological and enzymatic means for improving nutritional value.</w:t>
            </w:r>
          </w:p>
        </w:tc>
        <w:tc>
          <w:tcPr>
            <w:tcW w:w="1146" w:type="dxa"/>
            <w:tcBorders>
              <w:top w:val="single" w:sz="4" w:space="0" w:color="auto"/>
              <w:left w:val="nil"/>
              <w:bottom w:val="single" w:sz="4" w:space="0" w:color="auto"/>
              <w:right w:val="nil"/>
            </w:tcBorders>
          </w:tcPr>
          <w:p w14:paraId="60AB210C"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61793EEA" w14:textId="77777777">
        <w:tc>
          <w:tcPr>
            <w:tcW w:w="5746" w:type="dxa"/>
            <w:shd w:val="clear" w:color="auto" w:fill="auto"/>
          </w:tcPr>
          <w:p w14:paraId="7DD23300" w14:textId="77777777" w:rsidR="00D518FD" w:rsidRPr="000F7C04" w:rsidRDefault="00000000">
            <w:pPr>
              <w:pStyle w:val="P68B1DB1-Normale5"/>
              <w:spacing w:line="240" w:lineRule="auto"/>
              <w:rPr>
                <w:lang w:val="en-GB"/>
              </w:rPr>
            </w:pPr>
            <w:r w:rsidRPr="000F7C04">
              <w:rPr>
                <w:lang w:val="en-GB"/>
              </w:rPr>
              <w:t>Applied section: evaluation of feeds for ruminants</w:t>
            </w:r>
          </w:p>
        </w:tc>
        <w:tc>
          <w:tcPr>
            <w:tcW w:w="1160" w:type="dxa"/>
            <w:gridSpan w:val="2"/>
            <w:shd w:val="clear" w:color="auto" w:fill="auto"/>
          </w:tcPr>
          <w:p w14:paraId="03FB79B8" w14:textId="77777777" w:rsidR="00D518FD" w:rsidRPr="000F7C04" w:rsidRDefault="00D518FD">
            <w:pPr>
              <w:spacing w:line="240" w:lineRule="auto"/>
              <w:rPr>
                <w:rFonts w:ascii="Times New Roman" w:hAnsi="Times New Roman"/>
                <w:lang w:val="en-GB"/>
              </w:rPr>
            </w:pPr>
          </w:p>
        </w:tc>
      </w:tr>
      <w:tr w:rsidR="00D518FD" w:rsidRPr="000F7C04" w14:paraId="4EC87DEF" w14:textId="77777777">
        <w:tc>
          <w:tcPr>
            <w:tcW w:w="5746" w:type="dxa"/>
            <w:shd w:val="clear" w:color="auto" w:fill="auto"/>
          </w:tcPr>
          <w:p w14:paraId="036F8442" w14:textId="77777777" w:rsidR="00D518FD" w:rsidRPr="000F7C04" w:rsidRDefault="00000000">
            <w:pPr>
              <w:pStyle w:val="P68B1DB1-Normale4"/>
              <w:spacing w:line="240" w:lineRule="auto"/>
              <w:rPr>
                <w:lang w:val="en-GB"/>
              </w:rPr>
            </w:pPr>
            <w:r w:rsidRPr="000F7C04">
              <w:rPr>
                <w:lang w:val="en-GB"/>
              </w:rPr>
              <w:t>evaluation of complex carbohydrates in feeds for zootechnical use; digestive dynamics of complex structural and non-structural carbohydrates and study of the main in vivo, in situ, in vitro and enzymatic evaluation methods.</w:t>
            </w:r>
          </w:p>
        </w:tc>
        <w:tc>
          <w:tcPr>
            <w:tcW w:w="1160" w:type="dxa"/>
            <w:gridSpan w:val="2"/>
            <w:shd w:val="clear" w:color="auto" w:fill="auto"/>
            <w:vAlign w:val="center"/>
          </w:tcPr>
          <w:p w14:paraId="68318502"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6E5A7AD1" w14:textId="77777777">
        <w:tc>
          <w:tcPr>
            <w:tcW w:w="5746" w:type="dxa"/>
            <w:shd w:val="clear" w:color="auto" w:fill="auto"/>
          </w:tcPr>
          <w:p w14:paraId="7C941C5A" w14:textId="77777777" w:rsidR="00D518FD" w:rsidRPr="000F7C04" w:rsidRDefault="00000000">
            <w:pPr>
              <w:pStyle w:val="P68B1DB1-Normale4"/>
              <w:spacing w:line="240" w:lineRule="auto"/>
              <w:rPr>
                <w:lang w:val="en-GB"/>
              </w:rPr>
            </w:pPr>
            <w:r w:rsidRPr="000F7C04">
              <w:rPr>
                <w:lang w:val="en-GB"/>
              </w:rPr>
              <w:t xml:space="preserve">evaluation of the protein fraction in feeds for zootechnical use; protein digestion dynamics and study of the main in vivo, in situ, in vitro and enzymatic evaluation methods. </w:t>
            </w:r>
          </w:p>
        </w:tc>
        <w:tc>
          <w:tcPr>
            <w:tcW w:w="1160" w:type="dxa"/>
            <w:gridSpan w:val="2"/>
            <w:shd w:val="clear" w:color="auto" w:fill="auto"/>
            <w:vAlign w:val="center"/>
          </w:tcPr>
          <w:p w14:paraId="5910A36D"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4D63B2AE" w14:textId="77777777">
        <w:tc>
          <w:tcPr>
            <w:tcW w:w="5746" w:type="dxa"/>
            <w:shd w:val="clear" w:color="auto" w:fill="auto"/>
          </w:tcPr>
          <w:p w14:paraId="2026852F" w14:textId="77777777" w:rsidR="00D518FD" w:rsidRPr="000F7C04" w:rsidRDefault="00000000">
            <w:pPr>
              <w:pStyle w:val="P68B1DB1-Normale5"/>
              <w:spacing w:line="240" w:lineRule="auto"/>
              <w:rPr>
                <w:lang w:val="en-GB"/>
              </w:rPr>
            </w:pPr>
            <w:r w:rsidRPr="000F7C04">
              <w:rPr>
                <w:lang w:val="en-GB"/>
              </w:rPr>
              <w:t>Applied section: evaluation of feeds for monogastrics</w:t>
            </w:r>
          </w:p>
        </w:tc>
        <w:tc>
          <w:tcPr>
            <w:tcW w:w="1160" w:type="dxa"/>
            <w:gridSpan w:val="2"/>
            <w:shd w:val="clear" w:color="auto" w:fill="auto"/>
            <w:vAlign w:val="center"/>
          </w:tcPr>
          <w:p w14:paraId="00D02D3A" w14:textId="77777777" w:rsidR="00D518FD" w:rsidRPr="000F7C04" w:rsidRDefault="00D518FD">
            <w:pPr>
              <w:spacing w:line="240" w:lineRule="auto"/>
              <w:jc w:val="center"/>
              <w:rPr>
                <w:rFonts w:ascii="Times New Roman" w:hAnsi="Times New Roman"/>
                <w:lang w:val="en-GB"/>
              </w:rPr>
            </w:pPr>
          </w:p>
        </w:tc>
      </w:tr>
      <w:tr w:rsidR="00D518FD" w:rsidRPr="000F7C04" w14:paraId="3317AE26" w14:textId="77777777">
        <w:tc>
          <w:tcPr>
            <w:tcW w:w="5746" w:type="dxa"/>
            <w:shd w:val="clear" w:color="auto" w:fill="auto"/>
          </w:tcPr>
          <w:p w14:paraId="04CAA84A" w14:textId="77777777" w:rsidR="00D518FD" w:rsidRPr="000F7C04" w:rsidRDefault="00000000">
            <w:pPr>
              <w:pStyle w:val="P68B1DB1-Normale4"/>
              <w:spacing w:line="240" w:lineRule="auto"/>
              <w:rPr>
                <w:lang w:val="en-GB"/>
              </w:rPr>
            </w:pPr>
            <w:r w:rsidRPr="000F7C04">
              <w:rPr>
                <w:lang w:val="en-GB"/>
              </w:rPr>
              <w:t>evaluation of starch components of feeds; starch digestion dynamics and study of the main in vivo, in vitro and enzymatic evaluation methods.</w:t>
            </w:r>
          </w:p>
        </w:tc>
        <w:tc>
          <w:tcPr>
            <w:tcW w:w="1160" w:type="dxa"/>
            <w:gridSpan w:val="2"/>
            <w:shd w:val="clear" w:color="auto" w:fill="auto"/>
            <w:vAlign w:val="center"/>
          </w:tcPr>
          <w:p w14:paraId="6DA6CD1C"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0DAE2BFB" w14:textId="77777777">
        <w:tc>
          <w:tcPr>
            <w:tcW w:w="5746" w:type="dxa"/>
            <w:shd w:val="clear" w:color="auto" w:fill="auto"/>
          </w:tcPr>
          <w:p w14:paraId="2E80AEC3" w14:textId="77777777" w:rsidR="00D518FD" w:rsidRPr="000F7C04" w:rsidRDefault="00000000">
            <w:pPr>
              <w:pStyle w:val="P68B1DB1-Normale4"/>
              <w:spacing w:line="240" w:lineRule="auto"/>
              <w:rPr>
                <w:lang w:val="en-GB"/>
              </w:rPr>
            </w:pPr>
            <w:r w:rsidRPr="000F7C04">
              <w:rPr>
                <w:lang w:val="en-GB"/>
              </w:rPr>
              <w:t>evaluation of the protein components of feeds; protein digestion dynamics and study of the main in vivo, in vitro and enzymatic evaluation methods.</w:t>
            </w:r>
          </w:p>
        </w:tc>
        <w:tc>
          <w:tcPr>
            <w:tcW w:w="1160" w:type="dxa"/>
            <w:gridSpan w:val="2"/>
            <w:shd w:val="clear" w:color="auto" w:fill="auto"/>
            <w:vAlign w:val="center"/>
          </w:tcPr>
          <w:p w14:paraId="19BD4935" w14:textId="77777777" w:rsidR="00D518FD" w:rsidRPr="000F7C04" w:rsidRDefault="00000000">
            <w:pPr>
              <w:pStyle w:val="P68B1DB1-Normale4"/>
              <w:spacing w:line="240" w:lineRule="auto"/>
              <w:jc w:val="center"/>
              <w:rPr>
                <w:lang w:val="en-GB"/>
              </w:rPr>
            </w:pPr>
            <w:r w:rsidRPr="000F7C04">
              <w:rPr>
                <w:lang w:val="en-GB"/>
              </w:rPr>
              <w:t>0.5</w:t>
            </w:r>
          </w:p>
        </w:tc>
      </w:tr>
      <w:tr w:rsidR="00D518FD" w:rsidRPr="000F7C04" w14:paraId="37408A69" w14:textId="77777777">
        <w:tc>
          <w:tcPr>
            <w:tcW w:w="5746" w:type="dxa"/>
            <w:shd w:val="clear" w:color="auto" w:fill="auto"/>
          </w:tcPr>
          <w:p w14:paraId="6DD9F8B9" w14:textId="4BC6824F" w:rsidR="00D518FD" w:rsidRPr="000F7C04" w:rsidRDefault="00000000">
            <w:pPr>
              <w:pStyle w:val="P68B1DB1-Normale5"/>
              <w:spacing w:line="240" w:lineRule="auto"/>
              <w:rPr>
                <w:lang w:val="en-GB"/>
              </w:rPr>
            </w:pPr>
            <w:r w:rsidRPr="000F7C04">
              <w:rPr>
                <w:lang w:val="en-GB"/>
              </w:rPr>
              <w:t>Tutorial</w:t>
            </w:r>
          </w:p>
        </w:tc>
        <w:tc>
          <w:tcPr>
            <w:tcW w:w="1160" w:type="dxa"/>
            <w:gridSpan w:val="2"/>
            <w:shd w:val="clear" w:color="auto" w:fill="auto"/>
            <w:vAlign w:val="center"/>
          </w:tcPr>
          <w:p w14:paraId="5E27C86B" w14:textId="77777777" w:rsidR="00D518FD" w:rsidRPr="000F7C04" w:rsidRDefault="00D518FD">
            <w:pPr>
              <w:spacing w:line="240" w:lineRule="auto"/>
              <w:jc w:val="center"/>
              <w:rPr>
                <w:rFonts w:ascii="Times New Roman" w:hAnsi="Times New Roman"/>
                <w:lang w:val="en-GB"/>
              </w:rPr>
            </w:pPr>
          </w:p>
        </w:tc>
      </w:tr>
      <w:tr w:rsidR="00D518FD" w:rsidRPr="000F7C04" w14:paraId="259EE058" w14:textId="77777777">
        <w:tc>
          <w:tcPr>
            <w:tcW w:w="5746" w:type="dxa"/>
            <w:shd w:val="clear" w:color="auto" w:fill="auto"/>
          </w:tcPr>
          <w:p w14:paraId="420ABA4E" w14:textId="77777777" w:rsidR="00D518FD" w:rsidRPr="000F7C04" w:rsidRDefault="00000000">
            <w:pPr>
              <w:pStyle w:val="P68B1DB1-Normale4"/>
              <w:spacing w:line="240" w:lineRule="auto"/>
              <w:rPr>
                <w:lang w:val="en-GB"/>
              </w:rPr>
            </w:pPr>
            <w:r w:rsidRPr="000F7C04">
              <w:rPr>
                <w:lang w:val="en-GB"/>
              </w:rPr>
              <w:t>Modelling the data obtained in vivo, in situ, in vitro and enzymatically through the use of exponential and sigmoidal mathematical models. In silico simulation models of digestive processes.</w:t>
            </w:r>
          </w:p>
        </w:tc>
        <w:tc>
          <w:tcPr>
            <w:tcW w:w="1160" w:type="dxa"/>
            <w:gridSpan w:val="2"/>
            <w:shd w:val="clear" w:color="auto" w:fill="auto"/>
            <w:vAlign w:val="center"/>
          </w:tcPr>
          <w:p w14:paraId="309A2C36" w14:textId="77777777" w:rsidR="00D518FD" w:rsidRPr="000F7C04" w:rsidRDefault="00000000">
            <w:pPr>
              <w:pStyle w:val="P68B1DB1-Normale4"/>
              <w:spacing w:line="240" w:lineRule="auto"/>
              <w:jc w:val="center"/>
              <w:rPr>
                <w:lang w:val="en-GB"/>
              </w:rPr>
            </w:pPr>
            <w:r w:rsidRPr="000F7C04">
              <w:rPr>
                <w:lang w:val="en-GB"/>
              </w:rPr>
              <w:t>1.0</w:t>
            </w:r>
          </w:p>
        </w:tc>
      </w:tr>
    </w:tbl>
    <w:p w14:paraId="64EB90F0" w14:textId="77777777" w:rsidR="00D518FD" w:rsidRPr="000F7C04" w:rsidRDefault="00D518FD">
      <w:pPr>
        <w:keepNext/>
        <w:spacing w:after="120" w:line="240" w:lineRule="auto"/>
        <w:rPr>
          <w:rFonts w:ascii="Times New Roman" w:hAnsi="Times New Roman"/>
          <w:b/>
          <w:i/>
          <w:lang w:val="en-GB"/>
        </w:rPr>
      </w:pPr>
    </w:p>
    <w:p w14:paraId="4614FBDF" w14:textId="646A8134" w:rsidR="00D518FD" w:rsidRPr="000F7C04" w:rsidRDefault="00000000">
      <w:pPr>
        <w:pStyle w:val="P68B1DB1-Normale3"/>
        <w:keepNext/>
        <w:spacing w:after="120" w:line="240" w:lineRule="auto"/>
        <w:rPr>
          <w:lang w:val="en-GB"/>
        </w:rPr>
      </w:pPr>
      <w:r w:rsidRPr="000F7C04">
        <w:rPr>
          <w:lang w:val="en-GB"/>
        </w:rPr>
        <w:t>READING LIST</w:t>
      </w:r>
    </w:p>
    <w:p w14:paraId="48CAB438" w14:textId="77777777" w:rsidR="00D518FD" w:rsidRPr="000F7C04" w:rsidRDefault="00000000">
      <w:pPr>
        <w:pStyle w:val="P68B1DB1-Normale4"/>
        <w:tabs>
          <w:tab w:val="left" w:pos="720"/>
        </w:tabs>
        <w:spacing w:after="120" w:line="240" w:lineRule="auto"/>
        <w:rPr>
          <w:lang w:val="en-GB"/>
        </w:rPr>
      </w:pPr>
      <w:proofErr w:type="spellStart"/>
      <w:r w:rsidRPr="000F7C04">
        <w:rPr>
          <w:smallCaps/>
          <w:lang w:val="en-GB"/>
        </w:rPr>
        <w:t>Cevolani</w:t>
      </w:r>
      <w:proofErr w:type="spellEnd"/>
      <w:r w:rsidRPr="000F7C04">
        <w:rPr>
          <w:smallCaps/>
          <w:lang w:val="en-GB"/>
        </w:rPr>
        <w:t xml:space="preserve"> D.</w:t>
      </w:r>
      <w:r w:rsidRPr="000F7C04">
        <w:rPr>
          <w:lang w:val="en-GB"/>
        </w:rPr>
        <w:t xml:space="preserve">, </w:t>
      </w:r>
      <w:proofErr w:type="spellStart"/>
      <w:r w:rsidRPr="000F7C04">
        <w:rPr>
          <w:i/>
          <w:lang w:val="en-GB"/>
        </w:rPr>
        <w:t>Gli</w:t>
      </w:r>
      <w:proofErr w:type="spellEnd"/>
      <w:r w:rsidRPr="000F7C04">
        <w:rPr>
          <w:i/>
          <w:lang w:val="en-GB"/>
        </w:rPr>
        <w:t xml:space="preserve"> </w:t>
      </w:r>
      <w:proofErr w:type="spellStart"/>
      <w:r w:rsidRPr="000F7C04">
        <w:rPr>
          <w:i/>
          <w:lang w:val="en-GB"/>
        </w:rPr>
        <w:t>alimenti</w:t>
      </w:r>
      <w:proofErr w:type="spellEnd"/>
      <w:r w:rsidRPr="000F7C04">
        <w:rPr>
          <w:i/>
          <w:lang w:val="en-GB"/>
        </w:rPr>
        <w:t xml:space="preserve"> per la </w:t>
      </w:r>
      <w:proofErr w:type="spellStart"/>
      <w:r w:rsidRPr="000F7C04">
        <w:rPr>
          <w:i/>
          <w:lang w:val="en-GB"/>
        </w:rPr>
        <w:t>vacca</w:t>
      </w:r>
      <w:proofErr w:type="spellEnd"/>
      <w:r w:rsidRPr="000F7C04">
        <w:rPr>
          <w:i/>
          <w:lang w:val="en-GB"/>
        </w:rPr>
        <w:t xml:space="preserve"> da latte</w:t>
      </w:r>
      <w:r w:rsidRPr="000F7C04">
        <w:rPr>
          <w:lang w:val="en-GB"/>
        </w:rPr>
        <w:t xml:space="preserve">, </w:t>
      </w:r>
      <w:proofErr w:type="spellStart"/>
      <w:r w:rsidRPr="000F7C04">
        <w:rPr>
          <w:lang w:val="en-GB"/>
        </w:rPr>
        <w:t>Edagricole</w:t>
      </w:r>
      <w:proofErr w:type="spellEnd"/>
      <w:r w:rsidRPr="000F7C04">
        <w:rPr>
          <w:lang w:val="en-GB"/>
        </w:rPr>
        <w:t>, Bologna, 2006.</w:t>
      </w:r>
    </w:p>
    <w:p w14:paraId="2370911A" w14:textId="77777777" w:rsidR="00D518FD" w:rsidRPr="000F7C04" w:rsidRDefault="00000000">
      <w:pPr>
        <w:pStyle w:val="P68B1DB1-Normale4"/>
        <w:tabs>
          <w:tab w:val="left" w:pos="720"/>
        </w:tabs>
        <w:spacing w:after="120" w:line="240" w:lineRule="auto"/>
        <w:rPr>
          <w:smallCaps/>
          <w:lang w:val="en-GB"/>
        </w:rPr>
      </w:pPr>
      <w:r w:rsidRPr="000F7C04">
        <w:rPr>
          <w:smallCaps/>
          <w:lang w:val="en-GB"/>
        </w:rPr>
        <w:t xml:space="preserve">INRA. 2018. </w:t>
      </w:r>
      <w:r w:rsidRPr="000F7C04">
        <w:rPr>
          <w:i/>
          <w:lang w:val="en-GB"/>
        </w:rPr>
        <w:t>INRA feeding system for ruminants</w:t>
      </w:r>
      <w:r w:rsidRPr="000F7C04">
        <w:rPr>
          <w:smallCaps/>
          <w:lang w:val="en-GB"/>
        </w:rPr>
        <w:t>. Wageningen Academic Publishers, Wageningen, The Netherlands, 640 pp.</w:t>
      </w:r>
    </w:p>
    <w:p w14:paraId="307B543C" w14:textId="77777777" w:rsidR="00D518FD" w:rsidRPr="000F7C04" w:rsidRDefault="00000000">
      <w:pPr>
        <w:pStyle w:val="P68B1DB1-Normale4"/>
        <w:tabs>
          <w:tab w:val="left" w:pos="720"/>
        </w:tabs>
        <w:spacing w:after="120" w:line="240" w:lineRule="auto"/>
        <w:rPr>
          <w:lang w:val="en-GB"/>
        </w:rPr>
      </w:pPr>
      <w:r w:rsidRPr="000F7C04">
        <w:rPr>
          <w:smallCaps/>
          <w:lang w:val="en-GB"/>
        </w:rPr>
        <w:t>McDonald, P., Edwards, R., Greenhalgh, J., Morgan, C., L. A. Sinclair and R. G. Wilkinson</w:t>
      </w:r>
      <w:r w:rsidRPr="000F7C04">
        <w:rPr>
          <w:lang w:val="en-GB"/>
        </w:rPr>
        <w:t xml:space="preserve"> (2014). Animal Nutrition. 7</w:t>
      </w:r>
      <w:r w:rsidRPr="000F7C04">
        <w:rPr>
          <w:vertAlign w:val="superscript"/>
          <w:lang w:val="en-GB"/>
        </w:rPr>
        <w:t>th</w:t>
      </w:r>
      <w:r w:rsidRPr="000F7C04">
        <w:rPr>
          <w:lang w:val="en-GB"/>
        </w:rPr>
        <w:t xml:space="preserve"> ed. Essex: Addison Wesley Longman Limited.</w:t>
      </w:r>
    </w:p>
    <w:p w14:paraId="065B47B5" w14:textId="77777777" w:rsidR="00D518FD" w:rsidRPr="000F7C04" w:rsidRDefault="00000000">
      <w:pPr>
        <w:pStyle w:val="P68B1DB1-Normale4"/>
        <w:tabs>
          <w:tab w:val="left" w:pos="720"/>
        </w:tabs>
        <w:spacing w:after="120" w:line="240" w:lineRule="auto"/>
        <w:rPr>
          <w:smallCaps/>
          <w:lang w:val="en-GB"/>
        </w:rPr>
      </w:pPr>
      <w:r w:rsidRPr="000F7C04">
        <w:rPr>
          <w:smallCaps/>
          <w:lang w:val="en-GB"/>
        </w:rPr>
        <w:lastRenderedPageBreak/>
        <w:t xml:space="preserve">NASEM, 2021. </w:t>
      </w:r>
      <w:r w:rsidRPr="000F7C04">
        <w:rPr>
          <w:lang w:val="en-GB"/>
        </w:rPr>
        <w:t>Nutrient Requirements of Dairy Cattle, Eighth Revised Edition,  National Academy Press</w:t>
      </w:r>
      <w:r w:rsidRPr="000F7C04">
        <w:rPr>
          <w:smallCaps/>
          <w:lang w:val="en-GB"/>
        </w:rPr>
        <w:t>, Washington DC, 2021.</w:t>
      </w:r>
    </w:p>
    <w:p w14:paraId="76DAB049" w14:textId="77777777" w:rsidR="00D518FD" w:rsidRPr="000F7C04" w:rsidRDefault="00000000">
      <w:pPr>
        <w:pStyle w:val="P68B1DB1-Normale4"/>
        <w:tabs>
          <w:tab w:val="left" w:pos="720"/>
        </w:tabs>
        <w:spacing w:after="120" w:line="240" w:lineRule="auto"/>
        <w:rPr>
          <w:lang w:val="en-GB"/>
        </w:rPr>
      </w:pPr>
      <w:proofErr w:type="spellStart"/>
      <w:r w:rsidRPr="000F7C04">
        <w:rPr>
          <w:lang w:val="en-GB"/>
        </w:rPr>
        <w:t>NorFor</w:t>
      </w:r>
      <w:proofErr w:type="spellEnd"/>
      <w:r w:rsidRPr="000F7C04">
        <w:rPr>
          <w:lang w:val="en-GB"/>
        </w:rPr>
        <w:t>. 2011</w:t>
      </w:r>
      <w:r w:rsidRPr="000F7C04">
        <w:rPr>
          <w:i/>
          <w:lang w:val="en-GB"/>
        </w:rPr>
        <w:t xml:space="preserve">. </w:t>
      </w:r>
      <w:proofErr w:type="spellStart"/>
      <w:r w:rsidRPr="000F7C04">
        <w:rPr>
          <w:i/>
          <w:lang w:val="en-GB"/>
        </w:rPr>
        <w:t>NorFor</w:t>
      </w:r>
      <w:proofErr w:type="spellEnd"/>
      <w:r w:rsidRPr="000F7C04">
        <w:rPr>
          <w:i/>
          <w:lang w:val="en-GB"/>
        </w:rPr>
        <w:t xml:space="preserve"> – The Nordic Feed Evaluation System</w:t>
      </w:r>
      <w:r w:rsidRPr="000F7C04">
        <w:rPr>
          <w:lang w:val="en-GB"/>
        </w:rPr>
        <w:t>. 1st ed. Wageningen Academic Publishers, Wageningen, The Netherlands.</w:t>
      </w:r>
    </w:p>
    <w:p w14:paraId="3EA9CFF0" w14:textId="77777777" w:rsidR="00D518FD" w:rsidRPr="000F7C04" w:rsidRDefault="00000000">
      <w:pPr>
        <w:pStyle w:val="P68B1DB1-Normale4"/>
        <w:tabs>
          <w:tab w:val="left" w:pos="720"/>
        </w:tabs>
        <w:spacing w:after="120" w:line="240" w:lineRule="auto"/>
        <w:rPr>
          <w:smallCaps/>
          <w:lang w:val="en-GB"/>
        </w:rPr>
      </w:pPr>
      <w:r w:rsidRPr="000F7C04">
        <w:rPr>
          <w:smallCaps/>
          <w:lang w:val="en-GB"/>
        </w:rPr>
        <w:t xml:space="preserve">NRC, </w:t>
      </w:r>
      <w:r w:rsidRPr="000F7C04">
        <w:rPr>
          <w:lang w:val="en-GB"/>
        </w:rPr>
        <w:t>Nutrient requirements of dairy cattle</w:t>
      </w:r>
      <w:r w:rsidRPr="000F7C04">
        <w:rPr>
          <w:smallCaps/>
          <w:lang w:val="en-GB"/>
        </w:rPr>
        <w:t>, National Academy Press, Washington D.C., 2001.</w:t>
      </w:r>
    </w:p>
    <w:p w14:paraId="139B07ED" w14:textId="77777777" w:rsidR="00D518FD" w:rsidRPr="000F7C04" w:rsidRDefault="00000000">
      <w:pPr>
        <w:pStyle w:val="P68B1DB1-Normale4"/>
        <w:tabs>
          <w:tab w:val="left" w:pos="720"/>
        </w:tabs>
        <w:spacing w:after="120" w:line="240" w:lineRule="auto"/>
        <w:rPr>
          <w:smallCaps/>
          <w:lang w:val="en-GB"/>
        </w:rPr>
      </w:pPr>
      <w:r w:rsidRPr="000F7C04">
        <w:rPr>
          <w:smallCaps/>
          <w:lang w:val="en-GB"/>
        </w:rPr>
        <w:t xml:space="preserve">NRC, </w:t>
      </w:r>
      <w:r w:rsidRPr="000F7C04">
        <w:rPr>
          <w:lang w:val="en-GB"/>
        </w:rPr>
        <w:t>Nutrient requirements of swine</w:t>
      </w:r>
      <w:r w:rsidRPr="000F7C04">
        <w:rPr>
          <w:smallCaps/>
          <w:lang w:val="en-GB"/>
        </w:rPr>
        <w:t>, National Academy Press, Washington DC, 1998.</w:t>
      </w:r>
    </w:p>
    <w:p w14:paraId="3D8BCB7E" w14:textId="382B2CFC" w:rsidR="00D518FD" w:rsidRPr="000F7C04" w:rsidRDefault="00000000">
      <w:pPr>
        <w:pStyle w:val="P68B1DB1-Normale4"/>
        <w:tabs>
          <w:tab w:val="left" w:pos="720"/>
        </w:tabs>
        <w:spacing w:after="120" w:line="240" w:lineRule="auto"/>
        <w:rPr>
          <w:i/>
          <w:lang w:val="en-GB"/>
        </w:rPr>
      </w:pPr>
      <w:r w:rsidRPr="000F7C04">
        <w:rPr>
          <w:smallCaps/>
          <w:lang w:val="en-GB"/>
        </w:rPr>
        <w:t xml:space="preserve">Ronchi B., </w:t>
      </w:r>
      <w:proofErr w:type="spellStart"/>
      <w:r w:rsidRPr="000F7C04">
        <w:rPr>
          <w:smallCaps/>
          <w:lang w:val="en-GB"/>
        </w:rPr>
        <w:t>Savoini</w:t>
      </w:r>
      <w:proofErr w:type="spellEnd"/>
      <w:r w:rsidRPr="000F7C04">
        <w:rPr>
          <w:smallCaps/>
          <w:lang w:val="en-GB"/>
        </w:rPr>
        <w:t xml:space="preserve"> G., </w:t>
      </w:r>
      <w:proofErr w:type="spellStart"/>
      <w:r w:rsidRPr="000F7C04">
        <w:rPr>
          <w:smallCaps/>
          <w:lang w:val="en-GB"/>
        </w:rPr>
        <w:t>Trabalza</w:t>
      </w:r>
      <w:proofErr w:type="spellEnd"/>
      <w:r w:rsidRPr="000F7C04">
        <w:rPr>
          <w:smallCaps/>
          <w:lang w:val="en-GB"/>
        </w:rPr>
        <w:t xml:space="preserve"> </w:t>
      </w:r>
      <w:proofErr w:type="spellStart"/>
      <w:r w:rsidRPr="000F7C04">
        <w:rPr>
          <w:smallCaps/>
          <w:lang w:val="en-GB"/>
        </w:rPr>
        <w:t>Marinucci</w:t>
      </w:r>
      <w:proofErr w:type="spellEnd"/>
      <w:r w:rsidRPr="000F7C04">
        <w:rPr>
          <w:smallCaps/>
          <w:lang w:val="en-GB"/>
        </w:rPr>
        <w:t xml:space="preserve"> M., 2020. </w:t>
      </w:r>
      <w:proofErr w:type="spellStart"/>
      <w:r w:rsidRPr="000F7C04">
        <w:rPr>
          <w:i/>
          <w:lang w:val="en-GB"/>
        </w:rPr>
        <w:t>Manuale</w:t>
      </w:r>
      <w:proofErr w:type="spellEnd"/>
      <w:r w:rsidRPr="000F7C04">
        <w:rPr>
          <w:i/>
          <w:lang w:val="en-GB"/>
        </w:rPr>
        <w:t xml:space="preserve"> di </w:t>
      </w:r>
      <w:proofErr w:type="spellStart"/>
      <w:r w:rsidRPr="000F7C04">
        <w:rPr>
          <w:i/>
          <w:lang w:val="en-GB"/>
        </w:rPr>
        <w:t>nutrizione</w:t>
      </w:r>
      <w:proofErr w:type="spellEnd"/>
      <w:r w:rsidRPr="000F7C04">
        <w:rPr>
          <w:i/>
          <w:lang w:val="en-GB"/>
        </w:rPr>
        <w:t xml:space="preserve"> </w:t>
      </w:r>
      <w:proofErr w:type="spellStart"/>
      <w:r w:rsidRPr="000F7C04">
        <w:rPr>
          <w:i/>
          <w:lang w:val="en-GB"/>
        </w:rPr>
        <w:t>dei</w:t>
      </w:r>
      <w:proofErr w:type="spellEnd"/>
      <w:r w:rsidRPr="000F7C04">
        <w:rPr>
          <w:i/>
          <w:lang w:val="en-GB"/>
        </w:rPr>
        <w:t xml:space="preserve"> </w:t>
      </w:r>
      <w:proofErr w:type="spellStart"/>
      <w:r w:rsidRPr="000F7C04">
        <w:rPr>
          <w:i/>
          <w:lang w:val="en-GB"/>
        </w:rPr>
        <w:t>ruminanti</w:t>
      </w:r>
      <w:proofErr w:type="spellEnd"/>
      <w:r w:rsidRPr="000F7C04">
        <w:rPr>
          <w:i/>
          <w:lang w:val="en-GB"/>
        </w:rPr>
        <w:t xml:space="preserve"> da latte. </w:t>
      </w:r>
      <w:proofErr w:type="spellStart"/>
      <w:r w:rsidRPr="000F7C04">
        <w:rPr>
          <w:i/>
          <w:lang w:val="en-GB"/>
        </w:rPr>
        <w:t>EdiSES</w:t>
      </w:r>
      <w:proofErr w:type="spellEnd"/>
      <w:r w:rsidRPr="000F7C04">
        <w:rPr>
          <w:i/>
          <w:lang w:val="en-GB"/>
        </w:rPr>
        <w:t xml:space="preserve"> </w:t>
      </w:r>
      <w:proofErr w:type="spellStart"/>
      <w:r w:rsidRPr="000F7C04">
        <w:rPr>
          <w:i/>
          <w:lang w:val="en-GB"/>
        </w:rPr>
        <w:t>Università</w:t>
      </w:r>
      <w:proofErr w:type="spellEnd"/>
      <w:r w:rsidRPr="000F7C04">
        <w:rPr>
          <w:i/>
          <w:lang w:val="en-GB"/>
        </w:rPr>
        <w:t xml:space="preserve"> </w:t>
      </w:r>
      <w:proofErr w:type="spellStart"/>
      <w:r w:rsidRPr="000F7C04">
        <w:rPr>
          <w:i/>
          <w:lang w:val="en-GB"/>
        </w:rPr>
        <w:t>S.r.l</w:t>
      </w:r>
      <w:proofErr w:type="spellEnd"/>
      <w:r w:rsidRPr="000F7C04">
        <w:rPr>
          <w:i/>
          <w:lang w:val="en-GB"/>
        </w:rPr>
        <w:t xml:space="preserve">. – Naples. </w:t>
      </w:r>
    </w:p>
    <w:p w14:paraId="370A63AF" w14:textId="77777777" w:rsidR="00D518FD" w:rsidRPr="000F7C04" w:rsidRDefault="00000000">
      <w:pPr>
        <w:pStyle w:val="P68B1DB1-Normale4"/>
        <w:tabs>
          <w:tab w:val="left" w:pos="720"/>
        </w:tabs>
        <w:spacing w:after="120" w:line="240" w:lineRule="auto"/>
        <w:rPr>
          <w:lang w:val="en-GB"/>
        </w:rPr>
      </w:pPr>
      <w:proofErr w:type="spellStart"/>
      <w:r w:rsidRPr="000F7C04">
        <w:rPr>
          <w:smallCaps/>
          <w:lang w:val="en-GB"/>
        </w:rPr>
        <w:t>Sauvant</w:t>
      </w:r>
      <w:proofErr w:type="spellEnd"/>
      <w:r w:rsidRPr="000F7C04">
        <w:rPr>
          <w:smallCaps/>
          <w:lang w:val="en-GB"/>
        </w:rPr>
        <w:t xml:space="preserve"> D., Perez J.M., Tran</w:t>
      </w:r>
      <w:r w:rsidRPr="000F7C04">
        <w:rPr>
          <w:lang w:val="en-GB"/>
        </w:rPr>
        <w:t xml:space="preserve">, </w:t>
      </w:r>
      <w:r w:rsidRPr="000F7C04">
        <w:rPr>
          <w:i/>
          <w:lang w:val="en-GB"/>
        </w:rPr>
        <w:t>Tables of composition and nutritional value of feed materials</w:t>
      </w:r>
      <w:r w:rsidRPr="000F7C04">
        <w:rPr>
          <w:lang w:val="en-GB"/>
        </w:rPr>
        <w:t>, INRA Ed., 2002</w:t>
      </w:r>
    </w:p>
    <w:p w14:paraId="249F1248" w14:textId="77777777" w:rsidR="00D518FD" w:rsidRPr="000F7C04" w:rsidRDefault="00000000">
      <w:pPr>
        <w:pStyle w:val="P68B1DB1-Normale4"/>
        <w:tabs>
          <w:tab w:val="left" w:pos="720"/>
        </w:tabs>
        <w:spacing w:after="120" w:line="240" w:lineRule="auto"/>
        <w:rPr>
          <w:lang w:val="en-GB"/>
        </w:rPr>
      </w:pPr>
      <w:r w:rsidRPr="000F7C04">
        <w:rPr>
          <w:smallCaps/>
          <w:lang w:val="en-GB"/>
        </w:rPr>
        <w:t xml:space="preserve">Van </w:t>
      </w:r>
      <w:proofErr w:type="spellStart"/>
      <w:r w:rsidRPr="000F7C04">
        <w:rPr>
          <w:smallCaps/>
          <w:lang w:val="en-GB"/>
        </w:rPr>
        <w:t>Soest</w:t>
      </w:r>
      <w:proofErr w:type="spellEnd"/>
      <w:r w:rsidRPr="000F7C04">
        <w:rPr>
          <w:smallCaps/>
          <w:lang w:val="en-GB"/>
        </w:rPr>
        <w:t xml:space="preserve"> P.</w:t>
      </w:r>
      <w:r w:rsidRPr="000F7C04">
        <w:rPr>
          <w:lang w:val="en-GB"/>
        </w:rPr>
        <w:t xml:space="preserve">, </w:t>
      </w:r>
      <w:r w:rsidRPr="000F7C04">
        <w:rPr>
          <w:i/>
          <w:lang w:val="en-GB"/>
        </w:rPr>
        <w:t xml:space="preserve">Nutritional Ecology of the Ruminant, </w:t>
      </w:r>
      <w:r w:rsidRPr="000F7C04">
        <w:rPr>
          <w:lang w:val="en-GB"/>
        </w:rPr>
        <w:t>Cornell University Press, Ithaca, New York, 1994.</w:t>
      </w:r>
    </w:p>
    <w:p w14:paraId="6893EA1E" w14:textId="77777777" w:rsidR="00D518FD" w:rsidRPr="000F7C04" w:rsidRDefault="00D518FD">
      <w:pPr>
        <w:tabs>
          <w:tab w:val="left" w:pos="720"/>
        </w:tabs>
        <w:spacing w:after="120" w:line="240" w:lineRule="auto"/>
        <w:rPr>
          <w:rFonts w:ascii="Times New Roman" w:hAnsi="Times New Roman"/>
          <w:lang w:val="en-GB"/>
        </w:rPr>
      </w:pPr>
    </w:p>
    <w:p w14:paraId="0D89781D" w14:textId="77777777" w:rsidR="00D518FD" w:rsidRPr="000F7C04" w:rsidRDefault="00000000">
      <w:pPr>
        <w:pStyle w:val="P68B1DB1-Normale3"/>
        <w:spacing w:after="120" w:line="240" w:lineRule="auto"/>
        <w:rPr>
          <w:lang w:val="en-GB"/>
        </w:rPr>
      </w:pPr>
      <w:r w:rsidRPr="000F7C04">
        <w:rPr>
          <w:lang w:val="en-GB"/>
        </w:rPr>
        <w:t>TEACHING METHOD</w:t>
      </w:r>
    </w:p>
    <w:p w14:paraId="6DD1A3A2" w14:textId="09929457" w:rsidR="00D518FD" w:rsidRPr="000F7C04" w:rsidRDefault="00000000">
      <w:pPr>
        <w:pStyle w:val="P68B1DB1-Testo26"/>
        <w:spacing w:after="120" w:line="240" w:lineRule="auto"/>
        <w:ind w:firstLine="0"/>
        <w:rPr>
          <w:lang w:val="en-GB"/>
        </w:rPr>
      </w:pPr>
      <w:r w:rsidRPr="000F7C04">
        <w:rPr>
          <w:lang w:val="en-GB"/>
        </w:rPr>
        <w:t>Frontal lectures and classroom discussions, where key issues of the subject are presented with examples applicable to laboratory practices and the use of analytical values in the evaluation of feeds</w:t>
      </w:r>
      <w:r w:rsidR="000F7C04">
        <w:rPr>
          <w:lang w:val="en-GB"/>
        </w:rPr>
        <w:t>.</w:t>
      </w:r>
    </w:p>
    <w:p w14:paraId="1E7F7969" w14:textId="6F52D775" w:rsidR="00D518FD" w:rsidRPr="000F7C04" w:rsidRDefault="00000000">
      <w:pPr>
        <w:pStyle w:val="P68B1DB1-Testo26"/>
        <w:spacing w:after="120" w:line="240" w:lineRule="auto"/>
        <w:ind w:firstLine="0"/>
        <w:rPr>
          <w:lang w:val="en-GB"/>
        </w:rPr>
      </w:pPr>
      <w:r w:rsidRPr="000F7C04">
        <w:rPr>
          <w:lang w:val="en-GB"/>
        </w:rPr>
        <w:t>Possible application seminars incorporating the direct experiences of operators in the feed and laboratory sector</w:t>
      </w:r>
      <w:r w:rsidR="000F7C04">
        <w:rPr>
          <w:lang w:val="en-GB"/>
        </w:rPr>
        <w:t>.</w:t>
      </w:r>
    </w:p>
    <w:p w14:paraId="1B6178DA" w14:textId="77660639" w:rsidR="00D518FD" w:rsidRPr="000F7C04" w:rsidRDefault="00000000">
      <w:pPr>
        <w:pStyle w:val="P68B1DB1-Testo26"/>
        <w:spacing w:after="120" w:line="240" w:lineRule="auto"/>
        <w:ind w:firstLine="0"/>
        <w:rPr>
          <w:lang w:val="en-GB"/>
        </w:rPr>
      </w:pPr>
      <w:r w:rsidRPr="000F7C04">
        <w:rPr>
          <w:lang w:val="en-GB"/>
        </w:rPr>
        <w:t>Exercises at home with the aid of materials provided by the lecturer on the Blackboard platform</w:t>
      </w:r>
      <w:r w:rsidR="000F7C04">
        <w:rPr>
          <w:lang w:val="en-GB"/>
        </w:rPr>
        <w:t>.</w:t>
      </w:r>
    </w:p>
    <w:p w14:paraId="05661685" w14:textId="77777777" w:rsidR="00D518FD" w:rsidRPr="000F7C04" w:rsidRDefault="00000000">
      <w:pPr>
        <w:pStyle w:val="P68B1DB1-Testo26"/>
        <w:spacing w:after="120" w:line="240" w:lineRule="auto"/>
        <w:ind w:firstLine="0"/>
        <w:rPr>
          <w:lang w:val="en-GB"/>
        </w:rPr>
      </w:pPr>
      <w:r w:rsidRPr="000F7C04">
        <w:rPr>
          <w:lang w:val="en-GB"/>
        </w:rPr>
        <w:t>The course also includes hours of classroom support in which any problems are broken down and slowly solved step by step.</w:t>
      </w:r>
    </w:p>
    <w:p w14:paraId="387A9F32" w14:textId="77777777" w:rsidR="00D518FD" w:rsidRPr="000F7C04" w:rsidRDefault="00D518FD">
      <w:pPr>
        <w:pStyle w:val="Testo2"/>
        <w:spacing w:after="120" w:line="240" w:lineRule="auto"/>
        <w:rPr>
          <w:rFonts w:ascii="Times New Roman" w:hAnsi="Times New Roman"/>
          <w:sz w:val="20"/>
          <w:lang w:val="en-GB"/>
        </w:rPr>
      </w:pPr>
    </w:p>
    <w:p w14:paraId="533A0174" w14:textId="77777777" w:rsidR="00D518FD" w:rsidRPr="000F7C04" w:rsidRDefault="00000000">
      <w:pPr>
        <w:pStyle w:val="P68B1DB1-Normale3"/>
        <w:spacing w:after="120" w:line="240" w:lineRule="auto"/>
        <w:rPr>
          <w:lang w:val="en-GB"/>
        </w:rPr>
      </w:pPr>
      <w:r w:rsidRPr="000F7C04">
        <w:rPr>
          <w:lang w:val="en-GB"/>
        </w:rPr>
        <w:t>ASSESSMENT METHOD AND CRITERIA</w:t>
      </w:r>
    </w:p>
    <w:p w14:paraId="73569322" w14:textId="0BA9897F" w:rsidR="00D518FD" w:rsidRPr="000F7C04" w:rsidRDefault="00000000">
      <w:pPr>
        <w:pStyle w:val="P68B1DB1-Testo26"/>
        <w:spacing w:after="120" w:line="240" w:lineRule="auto"/>
        <w:ind w:firstLine="0"/>
        <w:rPr>
          <w:lang w:val="en-GB"/>
        </w:rPr>
      </w:pPr>
      <w:r w:rsidRPr="000F7C04">
        <w:rPr>
          <w:lang w:val="en-GB"/>
        </w:rPr>
        <w:t>An optional interim test is scheduled on the content covered in the first part of the course. This test will be carried out in writing and in the form of multiple-choice questions. At the end of the course there will be a final oral exam, both for those students who took and passed the interim test, and for those students who didn't take or failed the interim test. An oral exam during the course of the year.</w:t>
      </w:r>
    </w:p>
    <w:p w14:paraId="5B5770F1" w14:textId="77777777" w:rsidR="00D518FD" w:rsidRPr="000F7C04" w:rsidRDefault="00000000">
      <w:pPr>
        <w:pStyle w:val="P68B1DB1-Testo26"/>
        <w:spacing w:after="120" w:line="240" w:lineRule="auto"/>
        <w:ind w:firstLine="0"/>
        <w:rPr>
          <w:lang w:val="en-GB"/>
        </w:rPr>
      </w:pPr>
      <w:r w:rsidRPr="000F7C04">
        <w:rPr>
          <w:lang w:val="en-GB"/>
        </w:rPr>
        <w:t>The exam is divided into two parts:</w:t>
      </w:r>
    </w:p>
    <w:p w14:paraId="4494B57A" w14:textId="6F68CF5F" w:rsidR="00D518FD" w:rsidRPr="000F7C04" w:rsidRDefault="00000000">
      <w:pPr>
        <w:pStyle w:val="P68B1DB1-Testo26"/>
        <w:spacing w:after="120" w:line="240" w:lineRule="auto"/>
        <w:ind w:firstLine="0"/>
        <w:rPr>
          <w:lang w:val="en-GB"/>
        </w:rPr>
      </w:pPr>
      <w:r w:rsidRPr="000F7C04">
        <w:rPr>
          <w:lang w:val="en-GB"/>
        </w:rPr>
        <w:t>1. an optional written exam (partial test) covering the general (institutional) part of the course and comprising thirty closed-ended questions. The questions asked in the interim written test will all carry the same weight, with 0 (in the case of no answer) or 1 (in the case of an exemplary answer).</w:t>
      </w:r>
    </w:p>
    <w:p w14:paraId="1802E0B1" w14:textId="77777777" w:rsidR="00D518FD" w:rsidRPr="000F7C04" w:rsidRDefault="00000000">
      <w:pPr>
        <w:pStyle w:val="P68B1DB1-Testo26"/>
        <w:spacing w:after="120" w:line="240" w:lineRule="auto"/>
        <w:ind w:firstLine="0"/>
        <w:rPr>
          <w:lang w:val="en-GB"/>
        </w:rPr>
      </w:pPr>
      <w:r w:rsidRPr="000F7C04">
        <w:rPr>
          <w:lang w:val="en-GB"/>
        </w:rPr>
        <w:lastRenderedPageBreak/>
        <w:t xml:space="preserve">2. an oral exam at the end of the course, both for students who have taken and passed the interim test, and for students who have either not taken or failed the interim test. </w:t>
      </w:r>
    </w:p>
    <w:p w14:paraId="417291D6" w14:textId="77777777" w:rsidR="00D518FD" w:rsidRPr="000F7C04" w:rsidRDefault="00000000">
      <w:pPr>
        <w:pStyle w:val="P68B1DB1-Testo26"/>
        <w:spacing w:after="120" w:line="240" w:lineRule="auto"/>
        <w:ind w:firstLine="0"/>
        <w:rPr>
          <w:lang w:val="en-GB"/>
        </w:rPr>
      </w:pPr>
      <w:r w:rsidRPr="000F7C04">
        <w:rPr>
          <w:lang w:val="en-GB"/>
        </w:rPr>
        <w:t>The assessment will focus on the relevance of the student's answers, their appropriate use of the specific terminology, the reasoned and coherent structuring of their discourse, and their ability to identify conceptual links and open questions.</w:t>
      </w:r>
    </w:p>
    <w:p w14:paraId="635186AC" w14:textId="77777777" w:rsidR="00D518FD" w:rsidRPr="000F7C04" w:rsidRDefault="00000000">
      <w:pPr>
        <w:pStyle w:val="P68B1DB1-Testo26"/>
        <w:spacing w:after="120" w:line="240" w:lineRule="auto"/>
        <w:ind w:firstLine="0"/>
        <w:rPr>
          <w:lang w:val="en-GB"/>
        </w:rPr>
      </w:pPr>
      <w:r w:rsidRPr="000F7C04">
        <w:rPr>
          <w:lang w:val="en-GB"/>
        </w:rPr>
        <w:t>The final single mark is based 50% on the mark for the written test and 50% on that for the oral interview. In the case of those students who only take the oral exam, 100% of the assessment will be based on the oral exam.</w:t>
      </w:r>
    </w:p>
    <w:p w14:paraId="49A85CB6" w14:textId="77777777" w:rsidR="00D518FD" w:rsidRPr="000F7C04" w:rsidRDefault="00D518FD">
      <w:pPr>
        <w:pStyle w:val="Testo2"/>
        <w:spacing w:after="120" w:line="240" w:lineRule="auto"/>
        <w:rPr>
          <w:rFonts w:ascii="Times New Roman" w:hAnsi="Times New Roman"/>
          <w:sz w:val="20"/>
          <w:lang w:val="en-GB"/>
        </w:rPr>
      </w:pPr>
    </w:p>
    <w:p w14:paraId="5AF97EFE" w14:textId="77777777" w:rsidR="00D518FD" w:rsidRPr="000F7C04" w:rsidRDefault="00000000">
      <w:pPr>
        <w:pStyle w:val="P68B1DB1-Testo27"/>
        <w:spacing w:after="120" w:line="240" w:lineRule="auto"/>
        <w:ind w:firstLine="0"/>
        <w:rPr>
          <w:lang w:val="en-GB"/>
        </w:rPr>
      </w:pPr>
      <w:r w:rsidRPr="000F7C04">
        <w:rPr>
          <w:lang w:val="en-GB"/>
        </w:rPr>
        <w:t>NOTES AND PREREQUISITES</w:t>
      </w:r>
    </w:p>
    <w:p w14:paraId="3089BE0D" w14:textId="77777777" w:rsidR="00D518FD" w:rsidRPr="000F7C04" w:rsidRDefault="00000000">
      <w:pPr>
        <w:pStyle w:val="P68B1DB1-Testo26"/>
        <w:spacing w:after="120" w:line="240" w:lineRule="auto"/>
        <w:ind w:firstLine="0"/>
        <w:rPr>
          <w:lang w:val="en-GB"/>
        </w:rPr>
      </w:pPr>
      <w:r w:rsidRPr="000F7C04">
        <w:rPr>
          <w:lang w:val="en-GB"/>
        </w:rPr>
        <w:t xml:space="preserve">Students must possess a basic knowledge of the concepts of inorganic and organic chemistry and animal nutrition. </w:t>
      </w:r>
    </w:p>
    <w:p w14:paraId="712E92A0" w14:textId="77777777" w:rsidR="00D518FD" w:rsidRPr="000F7C04" w:rsidRDefault="00000000">
      <w:pPr>
        <w:spacing w:after="120" w:line="240" w:lineRule="auto"/>
        <w:rPr>
          <w:lang w:val="en-GB"/>
        </w:rPr>
      </w:pPr>
      <w:r w:rsidRPr="000F7C04">
        <w:rPr>
          <w:lang w:val="en-GB"/>
        </w:rPr>
        <w:t>Should the health situation relating to the Covid-19 pandemic not allow face-to-face teaching, remote teaching in synchronous or asynchronous mode will be guaranteed; this will be communicated in good time to students.</w:t>
      </w:r>
    </w:p>
    <w:p w14:paraId="2D4FBC51" w14:textId="77777777" w:rsidR="00D518FD" w:rsidRPr="000F7C04" w:rsidRDefault="00D518FD">
      <w:pPr>
        <w:spacing w:after="120" w:line="240" w:lineRule="auto"/>
        <w:rPr>
          <w:rFonts w:ascii="Times New Roman" w:hAnsi="Times New Roman"/>
          <w:b/>
          <w:i/>
          <w:lang w:val="en-GB"/>
        </w:rPr>
      </w:pPr>
    </w:p>
    <w:p w14:paraId="7F833E6B" w14:textId="77777777" w:rsidR="000F7C04" w:rsidRPr="000F7C04" w:rsidRDefault="000F7C04" w:rsidP="000F7C04">
      <w:pPr>
        <w:pStyle w:val="P68B1DB1-Testo25"/>
        <w:ind w:firstLine="0"/>
        <w:rPr>
          <w:lang w:val="en-GB"/>
        </w:rPr>
      </w:pPr>
      <w:r w:rsidRPr="000F7C04">
        <w:rPr>
          <w:lang w:val="en-GB"/>
        </w:rPr>
        <w:t>Information on office hours available on the teacher's personal page at http://docenti.unicatt.it/.</w:t>
      </w:r>
    </w:p>
    <w:p w14:paraId="43CD99E2" w14:textId="77777777" w:rsidR="00D518FD" w:rsidRPr="000F7C04" w:rsidRDefault="00D518FD">
      <w:pPr>
        <w:pStyle w:val="Testo2"/>
        <w:spacing w:after="120" w:line="240" w:lineRule="auto"/>
        <w:rPr>
          <w:rFonts w:ascii="Times New Roman" w:hAnsi="Times New Roman"/>
          <w:sz w:val="20"/>
          <w:lang w:val="en-GB"/>
        </w:rPr>
      </w:pPr>
    </w:p>
    <w:p w14:paraId="41953C02" w14:textId="77777777" w:rsidR="00D518FD" w:rsidRDefault="00D518FD">
      <w:pPr>
        <w:pStyle w:val="Testo2"/>
        <w:spacing w:after="120" w:line="240" w:lineRule="auto"/>
        <w:rPr>
          <w:rFonts w:ascii="Times New Roman" w:hAnsi="Times New Roman"/>
          <w:sz w:val="20"/>
        </w:rPr>
      </w:pPr>
    </w:p>
    <w:p w14:paraId="152BE874" w14:textId="77777777" w:rsidR="00D518FD" w:rsidRDefault="00D518FD">
      <w:pPr>
        <w:pStyle w:val="Testo2"/>
        <w:spacing w:after="120" w:line="240" w:lineRule="auto"/>
        <w:rPr>
          <w:rFonts w:ascii="Times New Roman" w:hAnsi="Times New Roman"/>
          <w:sz w:val="20"/>
        </w:rPr>
      </w:pPr>
    </w:p>
    <w:p w14:paraId="508167CE" w14:textId="77777777" w:rsidR="00D518FD" w:rsidRDefault="00D518FD">
      <w:pPr>
        <w:pStyle w:val="Testo2"/>
        <w:spacing w:after="120" w:line="240" w:lineRule="auto"/>
        <w:rPr>
          <w:rFonts w:ascii="Times New Roman" w:hAnsi="Times New Roman"/>
          <w:sz w:val="20"/>
        </w:rPr>
      </w:pPr>
    </w:p>
    <w:sectPr w:rsidR="00D518FD">
      <w:pgSz w:w="11906" w:h="16838" w:code="9"/>
      <w:pgMar w:top="2507"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21CC4"/>
    <w:rsid w:val="0003410A"/>
    <w:rsid w:val="00092644"/>
    <w:rsid w:val="00097A95"/>
    <w:rsid w:val="000D79E6"/>
    <w:rsid w:val="000E15BE"/>
    <w:rsid w:val="000F7C04"/>
    <w:rsid w:val="00101113"/>
    <w:rsid w:val="00106372"/>
    <w:rsid w:val="00131699"/>
    <w:rsid w:val="00132EDF"/>
    <w:rsid w:val="001A1DEA"/>
    <w:rsid w:val="001B1792"/>
    <w:rsid w:val="001B18A3"/>
    <w:rsid w:val="001B7929"/>
    <w:rsid w:val="001C164C"/>
    <w:rsid w:val="00202B13"/>
    <w:rsid w:val="002345EC"/>
    <w:rsid w:val="00236086"/>
    <w:rsid w:val="00250425"/>
    <w:rsid w:val="002608D6"/>
    <w:rsid w:val="0028373C"/>
    <w:rsid w:val="00292374"/>
    <w:rsid w:val="002C7C55"/>
    <w:rsid w:val="002D3EC4"/>
    <w:rsid w:val="002E4C6F"/>
    <w:rsid w:val="00320A2C"/>
    <w:rsid w:val="0036125A"/>
    <w:rsid w:val="003C1B5A"/>
    <w:rsid w:val="003D0FB0"/>
    <w:rsid w:val="00420E6D"/>
    <w:rsid w:val="00481EE4"/>
    <w:rsid w:val="004828F9"/>
    <w:rsid w:val="004830B9"/>
    <w:rsid w:val="00514694"/>
    <w:rsid w:val="00521CC4"/>
    <w:rsid w:val="00531BC7"/>
    <w:rsid w:val="0053452E"/>
    <w:rsid w:val="0054319F"/>
    <w:rsid w:val="00551D77"/>
    <w:rsid w:val="00584C5E"/>
    <w:rsid w:val="005E2E80"/>
    <w:rsid w:val="0060775F"/>
    <w:rsid w:val="00620CE6"/>
    <w:rsid w:val="00710B63"/>
    <w:rsid w:val="00723F70"/>
    <w:rsid w:val="007565B8"/>
    <w:rsid w:val="007625EE"/>
    <w:rsid w:val="007E2FCA"/>
    <w:rsid w:val="00801E42"/>
    <w:rsid w:val="0084141A"/>
    <w:rsid w:val="008E1D9B"/>
    <w:rsid w:val="008E3BE3"/>
    <w:rsid w:val="008F57A7"/>
    <w:rsid w:val="0092246C"/>
    <w:rsid w:val="00935011"/>
    <w:rsid w:val="00965D10"/>
    <w:rsid w:val="009A0DB6"/>
    <w:rsid w:val="00A0688C"/>
    <w:rsid w:val="00A13DAB"/>
    <w:rsid w:val="00A33D3E"/>
    <w:rsid w:val="00A4182D"/>
    <w:rsid w:val="00A74A7E"/>
    <w:rsid w:val="00AA70BD"/>
    <w:rsid w:val="00AB14FD"/>
    <w:rsid w:val="00AB45E4"/>
    <w:rsid w:val="00AB6490"/>
    <w:rsid w:val="00AC0D32"/>
    <w:rsid w:val="00AD40A2"/>
    <w:rsid w:val="00AE42B2"/>
    <w:rsid w:val="00B2399F"/>
    <w:rsid w:val="00B4269B"/>
    <w:rsid w:val="00B85B74"/>
    <w:rsid w:val="00B86D70"/>
    <w:rsid w:val="00C4425D"/>
    <w:rsid w:val="00CF6C76"/>
    <w:rsid w:val="00D518FD"/>
    <w:rsid w:val="00DD2AF6"/>
    <w:rsid w:val="00DD50D8"/>
    <w:rsid w:val="00E550FA"/>
    <w:rsid w:val="00EB4740"/>
    <w:rsid w:val="00EC350D"/>
    <w:rsid w:val="00ED4961"/>
    <w:rsid w:val="00ED708A"/>
    <w:rsid w:val="00ED7F69"/>
    <w:rsid w:val="00EE1772"/>
    <w:rsid w:val="00F167C2"/>
    <w:rsid w:val="00F450A9"/>
    <w:rsid w:val="00F57329"/>
    <w:rsid w:val="00F57E0B"/>
    <w:rsid w:val="00F85988"/>
    <w:rsid w:val="00FE4E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85190"/>
  <w15:docId w15:val="{C2951F70-C718-460A-83B3-47D2883B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ZA"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85B74"/>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rPr>
  </w:style>
  <w:style w:type="paragraph" w:customStyle="1" w:styleId="a0">
    <w:basedOn w:val="Normale"/>
    <w:next w:val="Corpotesto"/>
    <w:rsid w:val="00320A2C"/>
    <w:pPr>
      <w:tabs>
        <w:tab w:val="clear" w:pos="284"/>
        <w:tab w:val="left" w:pos="720"/>
      </w:tabs>
      <w:spacing w:line="240" w:lineRule="auto"/>
    </w:pPr>
    <w:rPr>
      <w:rFonts w:ascii="Times New Roman" w:hAnsi="Times New Roman"/>
    </w:rPr>
  </w:style>
  <w:style w:type="paragraph" w:customStyle="1" w:styleId="a1">
    <w:basedOn w:val="Normale"/>
    <w:next w:val="Corpotesto"/>
    <w:rsid w:val="004828F9"/>
    <w:pPr>
      <w:tabs>
        <w:tab w:val="clear" w:pos="284"/>
        <w:tab w:val="left" w:pos="720"/>
      </w:tabs>
      <w:spacing w:line="240" w:lineRule="auto"/>
    </w:pPr>
    <w:rPr>
      <w:rFonts w:ascii="Times New Roman" w:hAnsi="Times New Roman"/>
    </w:rPr>
  </w:style>
  <w:style w:type="character" w:styleId="Titolodellibro">
    <w:name w:val="Book Title"/>
    <w:uiPriority w:val="33"/>
    <w:qFormat/>
    <w:rsid w:val="00236086"/>
    <w:rPr>
      <w:b/>
      <w:smallCaps/>
    </w:rPr>
  </w:style>
  <w:style w:type="character" w:customStyle="1" w:styleId="Titolo2Carattere">
    <w:name w:val="Titolo 2 Carattere"/>
    <w:link w:val="Titolo2"/>
    <w:rsid w:val="00236086"/>
    <w:rPr>
      <w:rFonts w:ascii="Times" w:hAnsi="Times"/>
      <w:smallCaps/>
      <w:sz w:val="18"/>
    </w:rPr>
  </w:style>
  <w:style w:type="character" w:styleId="Rimandocommento">
    <w:name w:val="annotation reference"/>
    <w:basedOn w:val="Carpredefinitoparagrafo"/>
    <w:semiHidden/>
    <w:unhideWhenUsed/>
    <w:rsid w:val="000E15BE"/>
    <w:rPr>
      <w:sz w:val="16"/>
    </w:rPr>
  </w:style>
  <w:style w:type="paragraph" w:styleId="Testocommento">
    <w:name w:val="annotation text"/>
    <w:basedOn w:val="Normale"/>
    <w:link w:val="TestocommentoCarattere"/>
    <w:semiHidden/>
    <w:unhideWhenUsed/>
    <w:rsid w:val="000E15BE"/>
    <w:pPr>
      <w:spacing w:line="240" w:lineRule="auto"/>
    </w:pPr>
  </w:style>
  <w:style w:type="character" w:customStyle="1" w:styleId="TestocommentoCarattere">
    <w:name w:val="Testo commento Carattere"/>
    <w:basedOn w:val="Carpredefinitoparagrafo"/>
    <w:link w:val="Testocommento"/>
    <w:semiHidden/>
    <w:rsid w:val="000E15BE"/>
    <w:rPr>
      <w:rFonts w:ascii="Times" w:hAnsi="Times"/>
    </w:rPr>
  </w:style>
  <w:style w:type="paragraph" w:styleId="Soggettocommento">
    <w:name w:val="annotation subject"/>
    <w:basedOn w:val="Testocommento"/>
    <w:next w:val="Testocommento"/>
    <w:link w:val="SoggettocommentoCarattere"/>
    <w:semiHidden/>
    <w:unhideWhenUsed/>
    <w:rsid w:val="000E15BE"/>
    <w:rPr>
      <w:b/>
    </w:rPr>
  </w:style>
  <w:style w:type="character" w:customStyle="1" w:styleId="SoggettocommentoCarattere">
    <w:name w:val="Soggetto commento Carattere"/>
    <w:basedOn w:val="TestocommentoCarattere"/>
    <w:link w:val="Soggettocommento"/>
    <w:semiHidden/>
    <w:rsid w:val="000E15BE"/>
    <w:rPr>
      <w:rFonts w:ascii="Times" w:hAnsi="Times"/>
      <w:b/>
    </w:rPr>
  </w:style>
  <w:style w:type="paragraph" w:styleId="Testofumetto">
    <w:name w:val="Balloon Text"/>
    <w:basedOn w:val="Normale"/>
    <w:link w:val="TestofumettoCarattere"/>
    <w:semiHidden/>
    <w:unhideWhenUsed/>
    <w:rsid w:val="000E15BE"/>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0E15BE"/>
    <w:rPr>
      <w:rFonts w:ascii="Segoe UI" w:hAnsi="Segoe UI" w:cs="Segoe UI"/>
      <w:sz w:val="18"/>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Normale5">
    <w:name w:val="P68B1DB1-Normale5"/>
    <w:basedOn w:val="Normale"/>
    <w:rPr>
      <w:rFonts w:ascii="Times New Roman" w:hAnsi="Times New Roman"/>
      <w:b/>
    </w:rPr>
  </w:style>
  <w:style w:type="paragraph" w:customStyle="1" w:styleId="P68B1DB1-Testo26">
    <w:name w:val="P68B1DB1-Testo26"/>
    <w:basedOn w:val="Testo2"/>
    <w:rPr>
      <w:rFonts w:ascii="Times New Roman" w:hAnsi="Times New Roman"/>
      <w:sz w:val="20"/>
    </w:rPr>
  </w:style>
  <w:style w:type="paragraph" w:customStyle="1" w:styleId="P68B1DB1-Testo27">
    <w:name w:val="P68B1DB1-Testo27"/>
    <w:basedOn w:val="Testo2"/>
    <w:rPr>
      <w:rFonts w:ascii="Times New Roman" w:hAnsi="Times New Roman"/>
      <w:b/>
      <w:i/>
      <w:sz w:val="20"/>
    </w:rPr>
  </w:style>
  <w:style w:type="paragraph" w:customStyle="1" w:styleId="P68B1DB1-Testo25">
    <w:name w:val="P68B1DB1-Testo25"/>
    <w:basedOn w:val="Normale"/>
    <w:rsid w:val="000F7C04"/>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2174AC2506C4540A03F538E9248C1E1" ma:contentTypeVersion="14" ma:contentTypeDescription="Creare un nuovo documento." ma:contentTypeScope="" ma:versionID="5490362050ac9b79facadfe288e4adb0">
  <xsd:schema xmlns:xsd="http://www.w3.org/2001/XMLSchema" xmlns:xs="http://www.w3.org/2001/XMLSchema" xmlns:p="http://schemas.microsoft.com/office/2006/metadata/properties" xmlns:ns3="22316f51-825c-44dc-8dce-1664cf6331b3" xmlns:ns4="62f0d1bc-39e5-47a4-8aa0-be6508351e82" targetNamespace="http://schemas.microsoft.com/office/2006/metadata/properties" ma:root="true" ma:fieldsID="c3a343cbbe49cb42bb5eb0fb8184d74d" ns3:_="" ns4:_="">
    <xsd:import namespace="22316f51-825c-44dc-8dce-1664cf6331b3"/>
    <xsd:import namespace="62f0d1bc-39e5-47a4-8aa0-be6508351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6f51-825c-44dc-8dce-1664cf633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f0d1bc-39e5-47a4-8aa0-be6508351e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C6EE8-466C-47CA-837F-B9675A050864}">
  <ds:schemaRefs>
    <ds:schemaRef ds:uri="http://schemas.microsoft.com/sharepoint/v3/contenttype/forms"/>
  </ds:schemaRefs>
</ds:datastoreItem>
</file>

<file path=customXml/itemProps2.xml><?xml version="1.0" encoding="utf-8"?>
<ds:datastoreItem xmlns:ds="http://schemas.openxmlformats.org/officeDocument/2006/customXml" ds:itemID="{D9F21711-5196-41AD-9EE7-D645FBF13F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2C96AA-2241-4945-9DE3-B9053E68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6f51-825c-44dc-8dce-1664cf6331b3"/>
    <ds:schemaRef ds:uri="62f0d1bc-39e5-47a4-8aa0-be650835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5</TotalTime>
  <Pages>6</Pages>
  <Words>1658</Words>
  <Characters>9867</Characters>
  <Application>Microsoft Office Word</Application>
  <DocSecurity>0</DocSecurity>
  <Lines>182</Lines>
  <Paragraphs>111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6</cp:revision>
  <cp:lastPrinted>2011-06-16T12:31:00Z</cp:lastPrinted>
  <dcterms:created xsi:type="dcterms:W3CDTF">2022-05-08T05:24:00Z</dcterms:created>
  <dcterms:modified xsi:type="dcterms:W3CDTF">2022-06-20T14:19:00Z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0x01010032174AC2506C4540A03F538E9248C1E1</vt:lpwstr>
  </property>
</Properties>
</file>